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0F29E942" w14:textId="77777777" w:rsidTr="00876A8A">
        <w:trPr>
          <w:cantSplit/>
        </w:trPr>
        <w:tc>
          <w:tcPr>
            <w:tcW w:w="6487" w:type="dxa"/>
            <w:vAlign w:val="center"/>
          </w:tcPr>
          <w:p w14:paraId="289D06F2"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2B203F52" w14:textId="0E939A6F" w:rsidR="009F6520" w:rsidRDefault="00196EB4" w:rsidP="00196EB4">
            <w:pPr>
              <w:shd w:val="solid" w:color="FFFFFF" w:fill="FFFFFF"/>
              <w:spacing w:before="0" w:line="240" w:lineRule="atLeast"/>
            </w:pPr>
            <w:bookmarkStart w:id="0" w:name="ditulogo"/>
            <w:bookmarkEnd w:id="0"/>
            <w:r>
              <w:rPr>
                <w:noProof/>
                <w:lang w:eastAsia="en-GB"/>
              </w:rPr>
              <w:drawing>
                <wp:inline distT="0" distB="0" distL="0" distR="0" wp14:anchorId="4F98463A" wp14:editId="1FCAF7D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D055542" w14:textId="77777777" w:rsidTr="00876A8A">
        <w:trPr>
          <w:cantSplit/>
        </w:trPr>
        <w:tc>
          <w:tcPr>
            <w:tcW w:w="6487" w:type="dxa"/>
            <w:tcBorders>
              <w:bottom w:val="single" w:sz="12" w:space="0" w:color="auto"/>
            </w:tcBorders>
          </w:tcPr>
          <w:p w14:paraId="55E652D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0057926"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4430980" w14:textId="77777777" w:rsidTr="00876A8A">
        <w:trPr>
          <w:cantSplit/>
        </w:trPr>
        <w:tc>
          <w:tcPr>
            <w:tcW w:w="6487" w:type="dxa"/>
            <w:tcBorders>
              <w:top w:val="single" w:sz="12" w:space="0" w:color="auto"/>
            </w:tcBorders>
          </w:tcPr>
          <w:p w14:paraId="00A4B680"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9F9EE98" w14:textId="77777777" w:rsidR="000069D4" w:rsidRPr="00710D66" w:rsidRDefault="000069D4" w:rsidP="00A5173C">
            <w:pPr>
              <w:shd w:val="solid" w:color="FFFFFF" w:fill="FFFFFF"/>
              <w:spacing w:before="0" w:after="48" w:line="240" w:lineRule="atLeast"/>
              <w:rPr>
                <w:lang w:val="en-US"/>
              </w:rPr>
            </w:pPr>
          </w:p>
        </w:tc>
      </w:tr>
      <w:tr w:rsidR="000069D4" w14:paraId="6DFDFB89" w14:textId="77777777" w:rsidTr="00876A8A">
        <w:trPr>
          <w:cantSplit/>
        </w:trPr>
        <w:tc>
          <w:tcPr>
            <w:tcW w:w="6487" w:type="dxa"/>
            <w:vMerge w:val="restart"/>
          </w:tcPr>
          <w:p w14:paraId="02E4ECCE" w14:textId="77777777" w:rsidR="0051193F" w:rsidRPr="0051193F" w:rsidRDefault="0051193F" w:rsidP="0051193F">
            <w:pPr>
              <w:shd w:val="solid" w:color="FFFFFF" w:fill="FFFFFF"/>
              <w:tabs>
                <w:tab w:val="clear" w:pos="1134"/>
                <w:tab w:val="clear" w:pos="1871"/>
                <w:tab w:val="clear" w:pos="2268"/>
              </w:tabs>
              <w:spacing w:before="0" w:after="120"/>
              <w:ind w:left="1134" w:hanging="1134"/>
              <w:rPr>
                <w:rFonts w:ascii="Verdana" w:eastAsia="Batang" w:hAnsi="Verdana"/>
                <w:sz w:val="20"/>
                <w:lang w:eastAsia="ko-KR"/>
              </w:rPr>
            </w:pPr>
            <w:bookmarkStart w:id="1" w:name="recibido"/>
            <w:bookmarkStart w:id="2" w:name="dnum" w:colFirst="1" w:colLast="1"/>
            <w:bookmarkEnd w:id="1"/>
            <w:r w:rsidRPr="0051193F">
              <w:rPr>
                <w:rFonts w:ascii="Verdana" w:eastAsia="Batang" w:hAnsi="Verdana" w:hint="eastAsia"/>
                <w:sz w:val="20"/>
                <w:lang w:val="en-US" w:eastAsia="ko-KR"/>
              </w:rPr>
              <w:t>Received:</w:t>
            </w:r>
            <w:r w:rsidRPr="0051193F">
              <w:rPr>
                <w:rFonts w:ascii="Verdana" w:eastAsia="Batang" w:hAnsi="Verdana"/>
                <w:sz w:val="20"/>
                <w:lang w:eastAsia="ko-KR"/>
              </w:rPr>
              <w:tab/>
              <w:t>20 October</w:t>
            </w:r>
          </w:p>
          <w:p w14:paraId="235D49F8" w14:textId="77777777" w:rsidR="0051193F" w:rsidRPr="0051193F" w:rsidRDefault="0051193F" w:rsidP="0051193F">
            <w:pPr>
              <w:shd w:val="solid" w:color="FFFFFF" w:fill="FFFFFF"/>
              <w:tabs>
                <w:tab w:val="clear" w:pos="1134"/>
                <w:tab w:val="clear" w:pos="1871"/>
                <w:tab w:val="clear" w:pos="2268"/>
              </w:tabs>
              <w:spacing w:before="0" w:after="120"/>
              <w:ind w:left="1134" w:hanging="1134"/>
              <w:rPr>
                <w:rFonts w:ascii="Verdana" w:eastAsia="Batang" w:hAnsi="Verdana"/>
                <w:sz w:val="20"/>
                <w:lang w:val="en-US" w:eastAsia="ko-KR"/>
              </w:rPr>
            </w:pPr>
            <w:r w:rsidRPr="0051193F">
              <w:rPr>
                <w:rFonts w:ascii="Verdana" w:eastAsia="Batang" w:hAnsi="Verdana"/>
                <w:sz w:val="20"/>
                <w:lang w:val="en-US" w:eastAsia="ko-KR"/>
              </w:rPr>
              <w:t>Source:</w:t>
            </w:r>
            <w:r w:rsidRPr="0051193F">
              <w:rPr>
                <w:rFonts w:ascii="Verdana" w:eastAsia="Batang" w:hAnsi="Verdana"/>
                <w:sz w:val="20"/>
                <w:lang w:val="en-US" w:eastAsia="ko-KR"/>
              </w:rPr>
              <w:tab/>
              <w:t>Document 4A/291</w:t>
            </w:r>
          </w:p>
          <w:p w14:paraId="6AD02EFE" w14:textId="37FC1AB0" w:rsidR="00196EB4" w:rsidRPr="00982084" w:rsidRDefault="0051193F" w:rsidP="0051193F">
            <w:pPr>
              <w:shd w:val="solid" w:color="FFFFFF" w:fill="FFFFFF"/>
              <w:tabs>
                <w:tab w:val="clear" w:pos="1134"/>
                <w:tab w:val="clear" w:pos="1871"/>
                <w:tab w:val="clear" w:pos="2268"/>
              </w:tabs>
              <w:spacing w:before="0" w:after="120"/>
              <w:ind w:left="1134" w:hanging="1134"/>
              <w:rPr>
                <w:rFonts w:ascii="Verdana" w:hAnsi="Verdana"/>
                <w:sz w:val="20"/>
              </w:rPr>
            </w:pPr>
            <w:r w:rsidRPr="0051193F">
              <w:rPr>
                <w:rFonts w:ascii="Verdana" w:eastAsia="Batang" w:hAnsi="Verdana"/>
                <w:sz w:val="20"/>
              </w:rPr>
              <w:t>Subject:</w:t>
            </w:r>
            <w:r w:rsidRPr="0051193F">
              <w:rPr>
                <w:rFonts w:ascii="Verdana" w:eastAsia="Batang" w:hAnsi="Verdana"/>
                <w:sz w:val="20"/>
              </w:rPr>
              <w:tab/>
              <w:t>WRC-23 agenda item 7</w:t>
            </w:r>
            <w:r w:rsidRPr="0051193F">
              <w:rPr>
                <w:rFonts w:ascii="Verdana" w:eastAsia="Batang" w:hAnsi="Verdana"/>
                <w:sz w:val="20"/>
              </w:rPr>
              <w:br/>
              <w:t xml:space="preserve">Resolutions </w:t>
            </w:r>
            <w:r w:rsidRPr="0051193F">
              <w:rPr>
                <w:rFonts w:ascii="Verdana" w:eastAsia="Batang" w:hAnsi="Verdana"/>
                <w:b/>
                <w:bCs/>
                <w:sz w:val="20"/>
              </w:rPr>
              <w:t>86</w:t>
            </w:r>
            <w:r w:rsidRPr="0051193F">
              <w:rPr>
                <w:rFonts w:ascii="Verdana" w:eastAsia="Batang" w:hAnsi="Verdana"/>
                <w:sz w:val="20"/>
              </w:rPr>
              <w:t xml:space="preserve"> </w:t>
            </w:r>
            <w:r w:rsidRPr="0051193F">
              <w:rPr>
                <w:rFonts w:ascii="Verdana" w:eastAsia="Batang" w:hAnsi="Verdana"/>
                <w:b/>
                <w:bCs/>
                <w:sz w:val="20"/>
              </w:rPr>
              <w:t>(Rev.WRC-07)</w:t>
            </w:r>
          </w:p>
        </w:tc>
        <w:tc>
          <w:tcPr>
            <w:tcW w:w="3402" w:type="dxa"/>
          </w:tcPr>
          <w:p w14:paraId="4FA7A8A7" w14:textId="48939620" w:rsidR="000069D4" w:rsidRPr="00196EB4" w:rsidRDefault="00196EB4"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4A/497-E</w:t>
            </w:r>
          </w:p>
        </w:tc>
      </w:tr>
      <w:tr w:rsidR="000069D4" w14:paraId="5AA5E9A4" w14:textId="77777777" w:rsidTr="00876A8A">
        <w:trPr>
          <w:cantSplit/>
        </w:trPr>
        <w:tc>
          <w:tcPr>
            <w:tcW w:w="6487" w:type="dxa"/>
            <w:vMerge/>
          </w:tcPr>
          <w:p w14:paraId="43A7B40D"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13B3252D" w14:textId="60F33658" w:rsidR="000069D4" w:rsidRPr="00196EB4" w:rsidRDefault="00196EB4" w:rsidP="00A5173C">
            <w:pPr>
              <w:shd w:val="solid" w:color="FFFFFF" w:fill="FFFFFF"/>
              <w:spacing w:before="0" w:line="240" w:lineRule="atLeast"/>
              <w:rPr>
                <w:rFonts w:ascii="Verdana" w:hAnsi="Verdana"/>
                <w:sz w:val="20"/>
                <w:lang w:eastAsia="zh-CN"/>
              </w:rPr>
            </w:pPr>
            <w:r>
              <w:rPr>
                <w:rFonts w:ascii="Verdana" w:hAnsi="Verdana"/>
                <w:b/>
                <w:sz w:val="20"/>
                <w:lang w:eastAsia="zh-CN"/>
              </w:rPr>
              <w:t>21 October 2021</w:t>
            </w:r>
          </w:p>
        </w:tc>
      </w:tr>
      <w:tr w:rsidR="000069D4" w14:paraId="38A9042C" w14:textId="77777777" w:rsidTr="00876A8A">
        <w:trPr>
          <w:cantSplit/>
        </w:trPr>
        <w:tc>
          <w:tcPr>
            <w:tcW w:w="6487" w:type="dxa"/>
            <w:vMerge/>
          </w:tcPr>
          <w:p w14:paraId="2A011E8F"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07FE0F99" w14:textId="6D78BD4F" w:rsidR="000069D4" w:rsidRPr="00196EB4" w:rsidRDefault="00196EB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1193F" w14:paraId="1645AED5" w14:textId="77777777" w:rsidTr="00D046A7">
        <w:trPr>
          <w:cantSplit/>
        </w:trPr>
        <w:tc>
          <w:tcPr>
            <w:tcW w:w="9889" w:type="dxa"/>
            <w:gridSpan w:val="2"/>
          </w:tcPr>
          <w:p w14:paraId="4711F08A" w14:textId="10F01E9A" w:rsidR="0051193F" w:rsidRDefault="0051193F" w:rsidP="0051193F">
            <w:pPr>
              <w:pStyle w:val="Source"/>
              <w:rPr>
                <w:lang w:eastAsia="zh-CN"/>
              </w:rPr>
            </w:pPr>
            <w:bookmarkStart w:id="5" w:name="dsource" w:colFirst="0" w:colLast="0"/>
            <w:bookmarkEnd w:id="4"/>
            <w:r>
              <w:rPr>
                <w:lang w:eastAsia="zh-CN"/>
              </w:rPr>
              <w:t>Egypt (Arab Republic of),</w:t>
            </w:r>
            <w:r>
              <w:rPr>
                <w:bCs/>
                <w:lang w:val="en-US" w:eastAsia="ko-KR"/>
              </w:rPr>
              <w:t xml:space="preserve"> Saudi Arabia (Kingdom of)</w:t>
            </w:r>
          </w:p>
        </w:tc>
      </w:tr>
      <w:tr w:rsidR="0051193F" w14:paraId="5D9D5DB7" w14:textId="77777777" w:rsidTr="00D046A7">
        <w:trPr>
          <w:cantSplit/>
        </w:trPr>
        <w:tc>
          <w:tcPr>
            <w:tcW w:w="9889" w:type="dxa"/>
            <w:gridSpan w:val="2"/>
          </w:tcPr>
          <w:p w14:paraId="0A50ECE9" w14:textId="66D2A8C6" w:rsidR="0051193F" w:rsidRDefault="0051193F" w:rsidP="0051193F">
            <w:pPr>
              <w:pStyle w:val="Title1"/>
              <w:rPr>
                <w:lang w:eastAsia="zh-CN"/>
              </w:rPr>
            </w:pPr>
            <w:bookmarkStart w:id="6" w:name="drec" w:colFirst="0" w:colLast="0"/>
            <w:bookmarkEnd w:id="5"/>
            <w:r>
              <w:t>PROPOSED TOPIC to be considered under wrc-23 agenda item 7</w:t>
            </w:r>
          </w:p>
        </w:tc>
      </w:tr>
      <w:tr w:rsidR="0051193F" w14:paraId="073E0CF8" w14:textId="77777777" w:rsidTr="00D046A7">
        <w:trPr>
          <w:cantSplit/>
        </w:trPr>
        <w:tc>
          <w:tcPr>
            <w:tcW w:w="9889" w:type="dxa"/>
            <w:gridSpan w:val="2"/>
          </w:tcPr>
          <w:p w14:paraId="792122B9" w14:textId="3AA1A1ED" w:rsidR="0051193F" w:rsidRDefault="0051193F" w:rsidP="0051193F">
            <w:pPr>
              <w:pStyle w:val="Title4"/>
              <w:rPr>
                <w:lang w:eastAsia="zh-CN"/>
              </w:rPr>
            </w:pPr>
            <w:bookmarkStart w:id="7" w:name="dtitle1" w:colFirst="0" w:colLast="0"/>
            <w:bookmarkEnd w:id="6"/>
            <w:r>
              <w:t>Use of a space station to bring frequency assignments to geostationary-satellite networks at different orbital locations into use</w:t>
            </w:r>
          </w:p>
        </w:tc>
      </w:tr>
    </w:tbl>
    <w:p w14:paraId="6F0A729E" w14:textId="17EBF0A6" w:rsidR="0051193F" w:rsidRPr="0051193F" w:rsidRDefault="0051193F" w:rsidP="0051193F">
      <w:pPr>
        <w:pStyle w:val="Normalaftertitle"/>
        <w:rPr>
          <w:rFonts w:eastAsia="Batang"/>
          <w:lang w:eastAsia="ja-JP"/>
        </w:rPr>
      </w:pPr>
      <w:bookmarkStart w:id="8" w:name="dbreak"/>
      <w:bookmarkEnd w:id="8"/>
      <w:bookmarkEnd w:id="7"/>
      <w:r w:rsidRPr="0051193F">
        <w:rPr>
          <w:rFonts w:eastAsia="Batang"/>
        </w:rPr>
        <w:t xml:space="preserve">During the current study cycle, ITU-R Working Party 4A has considered contributions addressing the use of one space station to bring into use multiple satellite networks at </w:t>
      </w:r>
      <w:r w:rsidRPr="0051193F">
        <w:rPr>
          <w:rFonts w:eastAsia="Batang" w:hint="eastAsia"/>
          <w:lang w:eastAsia="ko-KR"/>
        </w:rPr>
        <w:t xml:space="preserve">several different orbital </w:t>
      </w:r>
      <w:r w:rsidRPr="0051193F">
        <w:rPr>
          <w:rFonts w:eastAsia="Batang"/>
        </w:rPr>
        <w:t xml:space="preserve">locations in the geostationary arc (Documents </w:t>
      </w:r>
      <w:hyperlink r:id="rId8" w:history="1">
        <w:r w:rsidRPr="0051193F">
          <w:rPr>
            <w:rFonts w:eastAsia="Batang"/>
            <w:color w:val="0000FF"/>
            <w:u w:val="single"/>
          </w:rPr>
          <w:t>4A/99</w:t>
        </w:r>
      </w:hyperlink>
      <w:r w:rsidRPr="0051193F">
        <w:rPr>
          <w:rFonts w:eastAsia="Batang"/>
          <w:color w:val="000000" w:themeColor="text1"/>
        </w:rPr>
        <w:t xml:space="preserve">, </w:t>
      </w:r>
      <w:hyperlink r:id="rId9" w:history="1">
        <w:r w:rsidRPr="0051193F">
          <w:rPr>
            <w:rFonts w:eastAsia="Batang"/>
            <w:color w:val="0000FF"/>
            <w:u w:val="single"/>
            <w:lang w:eastAsia="ko-KR"/>
          </w:rPr>
          <w:t>4A/291</w:t>
        </w:r>
      </w:hyperlink>
      <w:r w:rsidRPr="0051193F">
        <w:rPr>
          <w:rFonts w:eastAsia="Batang"/>
          <w:color w:val="0000FF"/>
          <w:u w:val="single"/>
        </w:rPr>
        <w:t>).</w:t>
      </w:r>
      <w:r w:rsidRPr="0051193F">
        <w:rPr>
          <w:rFonts w:eastAsia="Batang"/>
        </w:rPr>
        <w:t xml:space="preserve"> </w:t>
      </w:r>
      <w:r w:rsidRPr="0051193F">
        <w:rPr>
          <w:rFonts w:eastAsia="Batang"/>
          <w:lang w:eastAsia="ko-KR"/>
        </w:rPr>
        <w:t xml:space="preserve">In addition, the Bureau submitted Document </w:t>
      </w:r>
      <w:hyperlink r:id="rId10" w:history="1">
        <w:r w:rsidRPr="0051193F">
          <w:rPr>
            <w:rFonts w:eastAsia="Batang"/>
            <w:color w:val="0000FF"/>
            <w:u w:val="single"/>
            <w:lang w:eastAsia="ko-KR"/>
          </w:rPr>
          <w:t>4A/281</w:t>
        </w:r>
      </w:hyperlink>
      <w:r w:rsidRPr="0051193F">
        <w:rPr>
          <w:rFonts w:eastAsia="Batang"/>
        </w:rPr>
        <w:t xml:space="preserve"> to provide statistics regarding the data submitted by administrations under Resolution </w:t>
      </w:r>
      <w:r w:rsidRPr="0051193F">
        <w:rPr>
          <w:rFonts w:eastAsia="Batang"/>
          <w:b/>
          <w:bCs/>
        </w:rPr>
        <w:t>40 (Rev.WRC-19)</w:t>
      </w:r>
      <w:r w:rsidRPr="0051193F">
        <w:rPr>
          <w:rFonts w:eastAsia="Batang"/>
        </w:rPr>
        <w:t>,</w:t>
      </w:r>
      <w:r w:rsidRPr="0051193F">
        <w:rPr>
          <w:rFonts w:eastAsia="Batang"/>
          <w:lang w:eastAsia="zh-CN"/>
        </w:rPr>
        <w:t xml:space="preserve"> </w:t>
      </w:r>
      <w:r w:rsidRPr="0051193F">
        <w:rPr>
          <w:rFonts w:eastAsia="Batang"/>
        </w:rPr>
        <w:t xml:space="preserve">including </w:t>
      </w:r>
      <w:r w:rsidRPr="0051193F">
        <w:rPr>
          <w:rFonts w:eastAsia="Batang"/>
          <w:lang w:eastAsia="ja-JP"/>
        </w:rPr>
        <w:t>the last orbital location where the space station was used to bring into use (BIU) (or resume the use of) frequency assignments, the satellite network(s) with which the frequency assignments were associated, and the date on which the space station was no longer maintained at the orbital location.  This information allows us to review the application of the BIU procedures.</w:t>
      </w:r>
    </w:p>
    <w:p w14:paraId="7EDBF9C7" w14:textId="78651AD6" w:rsidR="0051193F" w:rsidRPr="0051193F" w:rsidRDefault="0051193F" w:rsidP="0051193F">
      <w:pPr>
        <w:pStyle w:val="Headingb"/>
        <w:rPr>
          <w:rFonts w:eastAsia="Batang"/>
        </w:rPr>
      </w:pPr>
      <w:r w:rsidRPr="0051193F">
        <w:rPr>
          <w:rFonts w:eastAsia="Batang"/>
        </w:rPr>
        <w:t xml:space="preserve">Analysis of BIU </w:t>
      </w:r>
      <w:r w:rsidR="007F16E9">
        <w:rPr>
          <w:rFonts w:eastAsia="Batang"/>
        </w:rPr>
        <w:t>d</w:t>
      </w:r>
      <w:r w:rsidRPr="0051193F">
        <w:rPr>
          <w:rFonts w:eastAsia="Batang"/>
        </w:rPr>
        <w:t>ata</w:t>
      </w:r>
    </w:p>
    <w:p w14:paraId="580A342A" w14:textId="17E3F55C" w:rsidR="0051193F" w:rsidRPr="0051193F" w:rsidRDefault="0051193F" w:rsidP="0051193F">
      <w:pPr>
        <w:rPr>
          <w:rFonts w:eastAsia="Batang"/>
          <w:szCs w:val="24"/>
        </w:rPr>
      </w:pPr>
      <w:r w:rsidRPr="0051193F">
        <w:rPr>
          <w:rFonts w:eastAsia="Batang"/>
          <w:lang w:eastAsia="ko-KR"/>
        </w:rPr>
        <w:t xml:space="preserve">The data provided to the BR, shown in </w:t>
      </w:r>
      <w:r w:rsidRPr="0051193F">
        <w:rPr>
          <w:rFonts w:eastAsia="Batang"/>
          <w:szCs w:val="24"/>
          <w:lang w:eastAsia="ko-KR"/>
        </w:rPr>
        <w:t xml:space="preserve">Document </w:t>
      </w:r>
      <w:hyperlink r:id="rId11" w:history="1">
        <w:r w:rsidRPr="0051193F">
          <w:rPr>
            <w:rFonts w:eastAsia="Batang"/>
            <w:color w:val="0000FF"/>
            <w:szCs w:val="24"/>
            <w:u w:val="single"/>
            <w:lang w:eastAsia="ko-KR"/>
          </w:rPr>
          <w:t>4A/281</w:t>
        </w:r>
      </w:hyperlink>
      <w:r w:rsidRPr="0051193F">
        <w:rPr>
          <w:rFonts w:eastAsia="Batang"/>
          <w:szCs w:val="24"/>
        </w:rPr>
        <w:t>, highlights some very interesting patterns:</w:t>
      </w:r>
    </w:p>
    <w:p w14:paraId="1A800641" w14:textId="77777777" w:rsidR="0051193F" w:rsidRPr="0051193F" w:rsidRDefault="0051193F" w:rsidP="0051193F">
      <w:pPr>
        <w:numPr>
          <w:ilvl w:val="0"/>
          <w:numId w:val="1"/>
        </w:numPr>
        <w:spacing w:before="80"/>
        <w:ind w:left="1134" w:hanging="1134"/>
        <w:rPr>
          <w:rFonts w:eastAsia="Batang"/>
          <w:szCs w:val="24"/>
        </w:rPr>
      </w:pPr>
      <w:r w:rsidRPr="0051193F">
        <w:rPr>
          <w:rFonts w:eastAsia="Batang"/>
          <w:szCs w:val="24"/>
        </w:rPr>
        <w:t>Around 71% of networks were BIU’d with a satellite that had not been used elsewhere – that is, a new satellite was launched and brought-into-use a single slot;</w:t>
      </w:r>
    </w:p>
    <w:p w14:paraId="3C7C9AAB" w14:textId="77777777" w:rsidR="0051193F" w:rsidRPr="0051193F" w:rsidRDefault="0051193F" w:rsidP="0051193F">
      <w:pPr>
        <w:numPr>
          <w:ilvl w:val="0"/>
          <w:numId w:val="1"/>
        </w:numPr>
        <w:spacing w:before="80"/>
        <w:ind w:left="1134" w:hanging="1134"/>
        <w:rPr>
          <w:rFonts w:eastAsia="Batang"/>
          <w:szCs w:val="24"/>
        </w:rPr>
      </w:pPr>
      <w:r w:rsidRPr="0051193F">
        <w:rPr>
          <w:rFonts w:eastAsia="Batang"/>
          <w:szCs w:val="24"/>
        </w:rPr>
        <w:t>Approximately 29% of networks were BIU’d with a satellite that had been relocated from a previous operational slot. Of these, 17% were satellites that had been moved only once; 12% were moved twice or more;</w:t>
      </w:r>
    </w:p>
    <w:p w14:paraId="13466EA9" w14:textId="77777777" w:rsidR="0051193F" w:rsidRPr="0051193F" w:rsidRDefault="0051193F" w:rsidP="0051193F">
      <w:pPr>
        <w:numPr>
          <w:ilvl w:val="0"/>
          <w:numId w:val="1"/>
        </w:numPr>
        <w:spacing w:before="80"/>
        <w:ind w:left="1134" w:hanging="1134"/>
        <w:rPr>
          <w:rFonts w:eastAsia="Batang"/>
          <w:szCs w:val="24"/>
        </w:rPr>
      </w:pPr>
      <w:r w:rsidRPr="0051193F">
        <w:rPr>
          <w:rFonts w:eastAsia="Batang"/>
          <w:szCs w:val="24"/>
        </w:rPr>
        <w:t>A small percentage – 6% – were moved three or more times to BIU a slot.</w:t>
      </w:r>
    </w:p>
    <w:p w14:paraId="10100963" w14:textId="77777777" w:rsidR="0051193F" w:rsidRPr="0051193F" w:rsidRDefault="0051193F" w:rsidP="0051193F">
      <w:pPr>
        <w:rPr>
          <w:rFonts w:eastAsia="Batang"/>
          <w:szCs w:val="24"/>
        </w:rPr>
      </w:pPr>
    </w:p>
    <w:tbl>
      <w:tblPr>
        <w:tblW w:w="60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23"/>
        <w:gridCol w:w="2268"/>
      </w:tblGrid>
      <w:tr w:rsidR="0051193F" w:rsidRPr="0051193F" w14:paraId="2AA0B5D2" w14:textId="77777777" w:rsidTr="0051193F">
        <w:trPr>
          <w:trHeight w:val="300"/>
          <w:jc w:val="center"/>
        </w:trPr>
        <w:tc>
          <w:tcPr>
            <w:tcW w:w="3823" w:type="dxa"/>
            <w:shd w:val="clear" w:color="000000" w:fill="D9D9D9"/>
            <w:noWrap/>
            <w:vAlign w:val="center"/>
            <w:hideMark/>
          </w:tcPr>
          <w:p w14:paraId="5244D316" w14:textId="77777777" w:rsidR="0051193F" w:rsidRPr="0051193F" w:rsidRDefault="0051193F" w:rsidP="0051193F">
            <w:pPr>
              <w:pStyle w:val="Tablehead"/>
              <w:rPr>
                <w:lang w:eastAsia="en-GB"/>
              </w:rPr>
            </w:pPr>
            <w:r w:rsidRPr="0051193F">
              <w:rPr>
                <w:lang w:eastAsia="en-GB"/>
              </w:rPr>
              <w:t>Number of positions at which the satellite was used previously</w:t>
            </w:r>
          </w:p>
        </w:tc>
        <w:tc>
          <w:tcPr>
            <w:tcW w:w="2268" w:type="dxa"/>
            <w:shd w:val="clear" w:color="000000" w:fill="D9D9D9"/>
            <w:noWrap/>
            <w:vAlign w:val="center"/>
            <w:hideMark/>
          </w:tcPr>
          <w:p w14:paraId="3562CEB5" w14:textId="77777777" w:rsidR="0051193F" w:rsidRPr="0051193F" w:rsidRDefault="0051193F" w:rsidP="0051193F">
            <w:pPr>
              <w:pStyle w:val="Tablehead"/>
              <w:rPr>
                <w:lang w:eastAsia="en-GB"/>
              </w:rPr>
            </w:pPr>
            <w:r w:rsidRPr="0051193F">
              <w:rPr>
                <w:lang w:eastAsia="en-GB"/>
              </w:rPr>
              <w:t>Percentage</w:t>
            </w:r>
          </w:p>
        </w:tc>
      </w:tr>
      <w:tr w:rsidR="0051193F" w:rsidRPr="0051193F" w14:paraId="193C43E5" w14:textId="77777777" w:rsidTr="0051193F">
        <w:trPr>
          <w:trHeight w:val="300"/>
          <w:jc w:val="center"/>
        </w:trPr>
        <w:tc>
          <w:tcPr>
            <w:tcW w:w="3823" w:type="dxa"/>
            <w:shd w:val="clear" w:color="auto" w:fill="auto"/>
            <w:noWrap/>
            <w:vAlign w:val="center"/>
            <w:hideMark/>
          </w:tcPr>
          <w:p w14:paraId="726BF860" w14:textId="77777777" w:rsidR="0051193F" w:rsidRPr="0051193F" w:rsidRDefault="0051193F" w:rsidP="0051193F">
            <w:pPr>
              <w:pStyle w:val="Tabletext"/>
              <w:jc w:val="center"/>
              <w:rPr>
                <w:lang w:eastAsia="en-GB"/>
              </w:rPr>
            </w:pPr>
            <w:r w:rsidRPr="0051193F">
              <w:rPr>
                <w:lang w:eastAsia="en-GB"/>
              </w:rPr>
              <w:t>0</w:t>
            </w:r>
          </w:p>
        </w:tc>
        <w:tc>
          <w:tcPr>
            <w:tcW w:w="2268" w:type="dxa"/>
            <w:shd w:val="clear" w:color="auto" w:fill="auto"/>
            <w:noWrap/>
            <w:vAlign w:val="center"/>
            <w:hideMark/>
          </w:tcPr>
          <w:p w14:paraId="332478D5" w14:textId="77777777" w:rsidR="0051193F" w:rsidRPr="0051193F" w:rsidRDefault="0051193F" w:rsidP="0051193F">
            <w:pPr>
              <w:pStyle w:val="Tabletext"/>
              <w:jc w:val="center"/>
              <w:rPr>
                <w:lang w:eastAsia="en-GB"/>
              </w:rPr>
            </w:pPr>
            <w:r w:rsidRPr="0051193F">
              <w:rPr>
                <w:lang w:eastAsia="en-GB"/>
              </w:rPr>
              <w:t>70.98%</w:t>
            </w:r>
          </w:p>
        </w:tc>
      </w:tr>
      <w:tr w:rsidR="0051193F" w:rsidRPr="0051193F" w14:paraId="1794E929" w14:textId="77777777" w:rsidTr="0051193F">
        <w:trPr>
          <w:trHeight w:val="300"/>
          <w:jc w:val="center"/>
        </w:trPr>
        <w:tc>
          <w:tcPr>
            <w:tcW w:w="3823" w:type="dxa"/>
            <w:shd w:val="clear" w:color="auto" w:fill="auto"/>
            <w:noWrap/>
            <w:vAlign w:val="center"/>
            <w:hideMark/>
          </w:tcPr>
          <w:p w14:paraId="38056ABB" w14:textId="77777777" w:rsidR="0051193F" w:rsidRPr="0051193F" w:rsidRDefault="0051193F" w:rsidP="0051193F">
            <w:pPr>
              <w:pStyle w:val="Tabletext"/>
              <w:jc w:val="center"/>
              <w:rPr>
                <w:lang w:eastAsia="en-GB"/>
              </w:rPr>
            </w:pPr>
            <w:r w:rsidRPr="0051193F">
              <w:rPr>
                <w:lang w:eastAsia="en-GB"/>
              </w:rPr>
              <w:t>1</w:t>
            </w:r>
          </w:p>
        </w:tc>
        <w:tc>
          <w:tcPr>
            <w:tcW w:w="2268" w:type="dxa"/>
            <w:shd w:val="clear" w:color="auto" w:fill="auto"/>
            <w:noWrap/>
            <w:vAlign w:val="center"/>
            <w:hideMark/>
          </w:tcPr>
          <w:p w14:paraId="42DC46CC" w14:textId="77777777" w:rsidR="0051193F" w:rsidRPr="0051193F" w:rsidRDefault="0051193F" w:rsidP="0051193F">
            <w:pPr>
              <w:pStyle w:val="Tabletext"/>
              <w:jc w:val="center"/>
              <w:rPr>
                <w:lang w:eastAsia="en-GB"/>
              </w:rPr>
            </w:pPr>
            <w:r w:rsidRPr="0051193F">
              <w:rPr>
                <w:lang w:eastAsia="en-GB"/>
              </w:rPr>
              <w:t>17.19%</w:t>
            </w:r>
          </w:p>
        </w:tc>
      </w:tr>
      <w:tr w:rsidR="0051193F" w:rsidRPr="0051193F" w14:paraId="3B27EE82" w14:textId="77777777" w:rsidTr="0051193F">
        <w:trPr>
          <w:trHeight w:val="300"/>
          <w:jc w:val="center"/>
        </w:trPr>
        <w:tc>
          <w:tcPr>
            <w:tcW w:w="3823" w:type="dxa"/>
            <w:shd w:val="clear" w:color="auto" w:fill="auto"/>
            <w:noWrap/>
            <w:vAlign w:val="center"/>
            <w:hideMark/>
          </w:tcPr>
          <w:p w14:paraId="46C196B2" w14:textId="77777777" w:rsidR="0051193F" w:rsidRPr="0051193F" w:rsidRDefault="0051193F" w:rsidP="0051193F">
            <w:pPr>
              <w:pStyle w:val="Tabletext"/>
              <w:jc w:val="center"/>
              <w:rPr>
                <w:lang w:eastAsia="en-GB"/>
              </w:rPr>
            </w:pPr>
            <w:r w:rsidRPr="0051193F">
              <w:rPr>
                <w:lang w:eastAsia="en-GB"/>
              </w:rPr>
              <w:t>2</w:t>
            </w:r>
          </w:p>
        </w:tc>
        <w:tc>
          <w:tcPr>
            <w:tcW w:w="2268" w:type="dxa"/>
            <w:shd w:val="clear" w:color="auto" w:fill="auto"/>
            <w:noWrap/>
            <w:vAlign w:val="center"/>
            <w:hideMark/>
          </w:tcPr>
          <w:p w14:paraId="0BBF0B7A" w14:textId="77777777" w:rsidR="0051193F" w:rsidRPr="0051193F" w:rsidRDefault="0051193F" w:rsidP="0051193F">
            <w:pPr>
              <w:pStyle w:val="Tabletext"/>
              <w:jc w:val="center"/>
              <w:rPr>
                <w:lang w:eastAsia="en-GB"/>
              </w:rPr>
            </w:pPr>
            <w:r w:rsidRPr="0051193F">
              <w:rPr>
                <w:lang w:eastAsia="en-GB"/>
              </w:rPr>
              <w:t>5.52%</w:t>
            </w:r>
          </w:p>
        </w:tc>
      </w:tr>
      <w:tr w:rsidR="0051193F" w:rsidRPr="0051193F" w14:paraId="63252054" w14:textId="77777777" w:rsidTr="0051193F">
        <w:trPr>
          <w:trHeight w:val="300"/>
          <w:jc w:val="center"/>
        </w:trPr>
        <w:tc>
          <w:tcPr>
            <w:tcW w:w="3823" w:type="dxa"/>
            <w:shd w:val="clear" w:color="auto" w:fill="auto"/>
            <w:noWrap/>
            <w:vAlign w:val="center"/>
            <w:hideMark/>
          </w:tcPr>
          <w:p w14:paraId="05F5CAFF" w14:textId="77777777" w:rsidR="0051193F" w:rsidRPr="0051193F" w:rsidRDefault="0051193F" w:rsidP="0051193F">
            <w:pPr>
              <w:pStyle w:val="Tabletext"/>
              <w:jc w:val="center"/>
              <w:rPr>
                <w:lang w:eastAsia="en-GB"/>
              </w:rPr>
            </w:pPr>
            <w:r w:rsidRPr="0051193F">
              <w:rPr>
                <w:lang w:eastAsia="en-GB"/>
              </w:rPr>
              <w:t>3</w:t>
            </w:r>
          </w:p>
        </w:tc>
        <w:tc>
          <w:tcPr>
            <w:tcW w:w="2268" w:type="dxa"/>
            <w:shd w:val="clear" w:color="auto" w:fill="auto"/>
            <w:noWrap/>
            <w:vAlign w:val="center"/>
            <w:hideMark/>
          </w:tcPr>
          <w:p w14:paraId="41793CFA" w14:textId="77777777" w:rsidR="0051193F" w:rsidRPr="0051193F" w:rsidRDefault="0051193F" w:rsidP="0051193F">
            <w:pPr>
              <w:pStyle w:val="Tabletext"/>
              <w:jc w:val="center"/>
              <w:rPr>
                <w:lang w:eastAsia="en-GB"/>
              </w:rPr>
            </w:pPr>
            <w:r w:rsidRPr="0051193F">
              <w:rPr>
                <w:lang w:eastAsia="en-GB"/>
              </w:rPr>
              <w:t>3.63%</w:t>
            </w:r>
          </w:p>
        </w:tc>
      </w:tr>
      <w:tr w:rsidR="0051193F" w:rsidRPr="0051193F" w14:paraId="71312CD5" w14:textId="77777777" w:rsidTr="0051193F">
        <w:trPr>
          <w:trHeight w:val="300"/>
          <w:jc w:val="center"/>
        </w:trPr>
        <w:tc>
          <w:tcPr>
            <w:tcW w:w="3823" w:type="dxa"/>
            <w:shd w:val="clear" w:color="auto" w:fill="auto"/>
            <w:noWrap/>
            <w:vAlign w:val="center"/>
            <w:hideMark/>
          </w:tcPr>
          <w:p w14:paraId="22562ABB" w14:textId="77777777" w:rsidR="0051193F" w:rsidRPr="0051193F" w:rsidRDefault="0051193F" w:rsidP="0051193F">
            <w:pPr>
              <w:pStyle w:val="Tabletext"/>
              <w:jc w:val="center"/>
              <w:rPr>
                <w:lang w:eastAsia="en-GB"/>
              </w:rPr>
            </w:pPr>
            <w:r w:rsidRPr="0051193F">
              <w:rPr>
                <w:lang w:eastAsia="en-GB"/>
              </w:rPr>
              <w:t>4</w:t>
            </w:r>
          </w:p>
        </w:tc>
        <w:tc>
          <w:tcPr>
            <w:tcW w:w="2268" w:type="dxa"/>
            <w:shd w:val="clear" w:color="auto" w:fill="auto"/>
            <w:noWrap/>
            <w:vAlign w:val="center"/>
            <w:hideMark/>
          </w:tcPr>
          <w:p w14:paraId="5EB21735" w14:textId="77777777" w:rsidR="0051193F" w:rsidRPr="0051193F" w:rsidRDefault="0051193F" w:rsidP="0051193F">
            <w:pPr>
              <w:pStyle w:val="Tabletext"/>
              <w:jc w:val="center"/>
              <w:rPr>
                <w:lang w:eastAsia="en-GB"/>
              </w:rPr>
            </w:pPr>
            <w:r w:rsidRPr="0051193F">
              <w:rPr>
                <w:lang w:eastAsia="en-GB"/>
              </w:rPr>
              <w:t>0.95%</w:t>
            </w:r>
          </w:p>
        </w:tc>
      </w:tr>
      <w:tr w:rsidR="0051193F" w:rsidRPr="0051193F" w14:paraId="2081EC52" w14:textId="77777777" w:rsidTr="0051193F">
        <w:trPr>
          <w:trHeight w:val="300"/>
          <w:jc w:val="center"/>
        </w:trPr>
        <w:tc>
          <w:tcPr>
            <w:tcW w:w="3823" w:type="dxa"/>
            <w:shd w:val="clear" w:color="auto" w:fill="auto"/>
            <w:noWrap/>
            <w:vAlign w:val="center"/>
            <w:hideMark/>
          </w:tcPr>
          <w:p w14:paraId="0691ECC1" w14:textId="77777777" w:rsidR="0051193F" w:rsidRPr="0051193F" w:rsidRDefault="0051193F" w:rsidP="0051193F">
            <w:pPr>
              <w:pStyle w:val="Tabletext"/>
              <w:jc w:val="center"/>
              <w:rPr>
                <w:lang w:eastAsia="en-GB"/>
              </w:rPr>
            </w:pPr>
            <w:r w:rsidRPr="0051193F">
              <w:rPr>
                <w:lang w:eastAsia="en-GB"/>
              </w:rPr>
              <w:t>5</w:t>
            </w:r>
          </w:p>
        </w:tc>
        <w:tc>
          <w:tcPr>
            <w:tcW w:w="2268" w:type="dxa"/>
            <w:shd w:val="clear" w:color="auto" w:fill="auto"/>
            <w:noWrap/>
            <w:vAlign w:val="center"/>
            <w:hideMark/>
          </w:tcPr>
          <w:p w14:paraId="273467E1" w14:textId="77777777" w:rsidR="0051193F" w:rsidRPr="0051193F" w:rsidRDefault="0051193F" w:rsidP="0051193F">
            <w:pPr>
              <w:pStyle w:val="Tabletext"/>
              <w:jc w:val="center"/>
              <w:rPr>
                <w:lang w:eastAsia="en-GB"/>
              </w:rPr>
            </w:pPr>
            <w:r w:rsidRPr="0051193F">
              <w:rPr>
                <w:lang w:eastAsia="en-GB"/>
              </w:rPr>
              <w:t>0.47%</w:t>
            </w:r>
          </w:p>
        </w:tc>
      </w:tr>
      <w:tr w:rsidR="0051193F" w:rsidRPr="0051193F" w14:paraId="5856CE7D" w14:textId="77777777" w:rsidTr="0051193F">
        <w:trPr>
          <w:trHeight w:val="300"/>
          <w:jc w:val="center"/>
        </w:trPr>
        <w:tc>
          <w:tcPr>
            <w:tcW w:w="3823" w:type="dxa"/>
            <w:shd w:val="clear" w:color="auto" w:fill="auto"/>
            <w:noWrap/>
            <w:vAlign w:val="center"/>
            <w:hideMark/>
          </w:tcPr>
          <w:p w14:paraId="3353C781" w14:textId="77777777" w:rsidR="0051193F" w:rsidRPr="0051193F" w:rsidRDefault="0051193F" w:rsidP="0051193F">
            <w:pPr>
              <w:pStyle w:val="Tabletext"/>
              <w:jc w:val="center"/>
              <w:rPr>
                <w:lang w:eastAsia="en-GB"/>
              </w:rPr>
            </w:pPr>
            <w:r w:rsidRPr="0051193F">
              <w:rPr>
                <w:lang w:eastAsia="en-GB"/>
              </w:rPr>
              <w:lastRenderedPageBreak/>
              <w:t>6</w:t>
            </w:r>
          </w:p>
        </w:tc>
        <w:tc>
          <w:tcPr>
            <w:tcW w:w="2268" w:type="dxa"/>
            <w:shd w:val="clear" w:color="auto" w:fill="auto"/>
            <w:noWrap/>
            <w:vAlign w:val="center"/>
            <w:hideMark/>
          </w:tcPr>
          <w:p w14:paraId="30195ECE" w14:textId="77777777" w:rsidR="0051193F" w:rsidRPr="0051193F" w:rsidRDefault="0051193F" w:rsidP="0051193F">
            <w:pPr>
              <w:pStyle w:val="Tabletext"/>
              <w:jc w:val="center"/>
              <w:rPr>
                <w:lang w:eastAsia="en-GB"/>
              </w:rPr>
            </w:pPr>
            <w:r w:rsidRPr="0051193F">
              <w:rPr>
                <w:lang w:eastAsia="en-GB"/>
              </w:rPr>
              <w:t>0.79%</w:t>
            </w:r>
          </w:p>
        </w:tc>
      </w:tr>
      <w:tr w:rsidR="0051193F" w:rsidRPr="0051193F" w14:paraId="4A0A112E" w14:textId="77777777" w:rsidTr="0051193F">
        <w:trPr>
          <w:trHeight w:val="300"/>
          <w:jc w:val="center"/>
        </w:trPr>
        <w:tc>
          <w:tcPr>
            <w:tcW w:w="3823" w:type="dxa"/>
            <w:shd w:val="clear" w:color="auto" w:fill="auto"/>
            <w:noWrap/>
            <w:vAlign w:val="center"/>
            <w:hideMark/>
          </w:tcPr>
          <w:p w14:paraId="153C8075" w14:textId="77777777" w:rsidR="0051193F" w:rsidRPr="0051193F" w:rsidRDefault="0051193F" w:rsidP="0051193F">
            <w:pPr>
              <w:pStyle w:val="Tabletext"/>
              <w:jc w:val="center"/>
              <w:rPr>
                <w:lang w:eastAsia="en-GB"/>
              </w:rPr>
            </w:pPr>
            <w:r w:rsidRPr="0051193F">
              <w:rPr>
                <w:lang w:eastAsia="en-GB"/>
              </w:rPr>
              <w:t>7</w:t>
            </w:r>
          </w:p>
        </w:tc>
        <w:tc>
          <w:tcPr>
            <w:tcW w:w="2268" w:type="dxa"/>
            <w:shd w:val="clear" w:color="auto" w:fill="auto"/>
            <w:noWrap/>
            <w:vAlign w:val="center"/>
            <w:hideMark/>
          </w:tcPr>
          <w:p w14:paraId="4D18C352" w14:textId="77777777" w:rsidR="0051193F" w:rsidRPr="0051193F" w:rsidRDefault="0051193F" w:rsidP="0051193F">
            <w:pPr>
              <w:pStyle w:val="Tabletext"/>
              <w:jc w:val="center"/>
              <w:rPr>
                <w:lang w:eastAsia="en-GB"/>
              </w:rPr>
            </w:pPr>
            <w:r w:rsidRPr="0051193F">
              <w:rPr>
                <w:lang w:eastAsia="en-GB"/>
              </w:rPr>
              <w:t>0.16%</w:t>
            </w:r>
          </w:p>
        </w:tc>
      </w:tr>
      <w:tr w:rsidR="0051193F" w:rsidRPr="0051193F" w14:paraId="139A35EE" w14:textId="77777777" w:rsidTr="0051193F">
        <w:trPr>
          <w:trHeight w:val="300"/>
          <w:jc w:val="center"/>
        </w:trPr>
        <w:tc>
          <w:tcPr>
            <w:tcW w:w="3823" w:type="dxa"/>
            <w:shd w:val="clear" w:color="auto" w:fill="auto"/>
            <w:noWrap/>
            <w:vAlign w:val="center"/>
            <w:hideMark/>
          </w:tcPr>
          <w:p w14:paraId="7F41FD3B" w14:textId="77777777" w:rsidR="0051193F" w:rsidRPr="0051193F" w:rsidRDefault="0051193F" w:rsidP="0051193F">
            <w:pPr>
              <w:pStyle w:val="Tabletext"/>
              <w:jc w:val="center"/>
              <w:rPr>
                <w:lang w:eastAsia="en-GB"/>
              </w:rPr>
            </w:pPr>
            <w:r w:rsidRPr="0051193F">
              <w:rPr>
                <w:lang w:eastAsia="en-GB"/>
              </w:rPr>
              <w:t>8</w:t>
            </w:r>
          </w:p>
        </w:tc>
        <w:tc>
          <w:tcPr>
            <w:tcW w:w="2268" w:type="dxa"/>
            <w:shd w:val="clear" w:color="auto" w:fill="auto"/>
            <w:noWrap/>
            <w:vAlign w:val="center"/>
            <w:hideMark/>
          </w:tcPr>
          <w:p w14:paraId="219CB360" w14:textId="77777777" w:rsidR="0051193F" w:rsidRPr="0051193F" w:rsidRDefault="0051193F" w:rsidP="0051193F">
            <w:pPr>
              <w:pStyle w:val="Tabletext"/>
              <w:jc w:val="center"/>
              <w:rPr>
                <w:lang w:eastAsia="en-GB"/>
              </w:rPr>
            </w:pPr>
            <w:r w:rsidRPr="0051193F">
              <w:rPr>
                <w:lang w:eastAsia="en-GB"/>
              </w:rPr>
              <w:t>0.16%</w:t>
            </w:r>
          </w:p>
        </w:tc>
      </w:tr>
      <w:tr w:rsidR="0051193F" w:rsidRPr="0051193F" w14:paraId="4212E0DE" w14:textId="77777777" w:rsidTr="0051193F">
        <w:trPr>
          <w:trHeight w:val="300"/>
          <w:jc w:val="center"/>
        </w:trPr>
        <w:tc>
          <w:tcPr>
            <w:tcW w:w="3823" w:type="dxa"/>
            <w:shd w:val="clear" w:color="auto" w:fill="auto"/>
            <w:noWrap/>
            <w:vAlign w:val="center"/>
            <w:hideMark/>
          </w:tcPr>
          <w:p w14:paraId="1E13ACF3" w14:textId="77777777" w:rsidR="0051193F" w:rsidRPr="0051193F" w:rsidRDefault="0051193F" w:rsidP="0051193F">
            <w:pPr>
              <w:pStyle w:val="Tabletext"/>
              <w:jc w:val="center"/>
              <w:rPr>
                <w:lang w:eastAsia="en-GB"/>
              </w:rPr>
            </w:pPr>
            <w:r w:rsidRPr="0051193F">
              <w:rPr>
                <w:lang w:eastAsia="en-GB"/>
              </w:rPr>
              <w:t>9</w:t>
            </w:r>
          </w:p>
        </w:tc>
        <w:tc>
          <w:tcPr>
            <w:tcW w:w="2268" w:type="dxa"/>
            <w:shd w:val="clear" w:color="auto" w:fill="auto"/>
            <w:noWrap/>
            <w:vAlign w:val="center"/>
            <w:hideMark/>
          </w:tcPr>
          <w:p w14:paraId="73DEB6AC" w14:textId="77777777" w:rsidR="0051193F" w:rsidRPr="0051193F" w:rsidRDefault="0051193F" w:rsidP="0051193F">
            <w:pPr>
              <w:pStyle w:val="Tabletext"/>
              <w:jc w:val="center"/>
              <w:rPr>
                <w:lang w:eastAsia="en-GB"/>
              </w:rPr>
            </w:pPr>
            <w:r w:rsidRPr="0051193F">
              <w:rPr>
                <w:lang w:eastAsia="en-GB"/>
              </w:rPr>
              <w:t>0.16%</w:t>
            </w:r>
          </w:p>
        </w:tc>
      </w:tr>
    </w:tbl>
    <w:p w14:paraId="69496C34" w14:textId="77777777" w:rsidR="0051193F" w:rsidRPr="0051193F" w:rsidRDefault="0051193F" w:rsidP="0051193F">
      <w:pPr>
        <w:pStyle w:val="Tablefin"/>
        <w:rPr>
          <w:rFonts w:eastAsia="Batang"/>
        </w:rPr>
      </w:pPr>
    </w:p>
    <w:p w14:paraId="40C8F2A3" w14:textId="78C82A52" w:rsidR="0051193F" w:rsidRPr="0051193F" w:rsidRDefault="0051193F" w:rsidP="0051193F">
      <w:pPr>
        <w:rPr>
          <w:rFonts w:eastAsia="Batang"/>
          <w:szCs w:val="24"/>
        </w:rPr>
      </w:pPr>
      <w:r w:rsidRPr="0051193F">
        <w:rPr>
          <w:rFonts w:eastAsia="Batang"/>
          <w:szCs w:val="24"/>
        </w:rPr>
        <w:t>Whilst it is likely that a satellite would be moved for operational reasons once or twice in its lifetime, it seems unlikely that an operational satellite would be moved nine times. The expenditure of valuable fuel, and the limited period in which the satellite remains on station, do not appear consistent with sustainable operations.</w:t>
      </w:r>
    </w:p>
    <w:p w14:paraId="781138B2" w14:textId="2F57412F" w:rsidR="0051193F" w:rsidRPr="0051193F" w:rsidRDefault="0051193F" w:rsidP="0051193F">
      <w:pPr>
        <w:rPr>
          <w:rFonts w:eastAsia="Batang"/>
          <w:lang w:eastAsia="ko-KR"/>
        </w:rPr>
      </w:pPr>
      <w:r w:rsidRPr="0051193F">
        <w:rPr>
          <w:rFonts w:eastAsia="Batang"/>
          <w:lang w:eastAsia="ko-KR"/>
        </w:rPr>
        <w:t>The purpose of the Radio Regulations is to ensure a predictable and equitable access to spectrum and orbital resources.  Various changes made by past World Radio</w:t>
      </w:r>
      <w:r w:rsidR="00114BBA">
        <w:rPr>
          <w:rFonts w:eastAsia="Batang"/>
          <w:lang w:eastAsia="ko-KR"/>
        </w:rPr>
        <w:t>communication</w:t>
      </w:r>
      <w:r w:rsidRPr="0051193F">
        <w:rPr>
          <w:rFonts w:eastAsia="Batang"/>
          <w:lang w:eastAsia="ko-KR"/>
        </w:rPr>
        <w:t xml:space="preserve"> Conferences to Articles </w:t>
      </w:r>
      <w:r w:rsidRPr="0051193F">
        <w:rPr>
          <w:rFonts w:eastAsia="Batang"/>
          <w:b/>
          <w:bCs/>
          <w:lang w:eastAsia="ko-KR"/>
        </w:rPr>
        <w:t>9</w:t>
      </w:r>
      <w:r w:rsidRPr="0051193F">
        <w:rPr>
          <w:rFonts w:eastAsia="Batang"/>
          <w:lang w:eastAsia="ko-KR"/>
        </w:rPr>
        <w:t xml:space="preserve">, </w:t>
      </w:r>
      <w:r w:rsidRPr="0051193F">
        <w:rPr>
          <w:rFonts w:eastAsia="Batang"/>
          <w:b/>
          <w:bCs/>
          <w:lang w:eastAsia="ko-KR"/>
        </w:rPr>
        <w:t>11</w:t>
      </w:r>
      <w:r w:rsidRPr="0051193F">
        <w:rPr>
          <w:rFonts w:eastAsia="Batang"/>
          <w:lang w:eastAsia="ko-KR"/>
        </w:rPr>
        <w:t xml:space="preserve"> and Resolutions of the </w:t>
      </w:r>
      <w:r w:rsidR="007F16E9">
        <w:rPr>
          <w:rFonts w:eastAsia="Batang"/>
          <w:lang w:eastAsia="ko-KR"/>
        </w:rPr>
        <w:t xml:space="preserve">Radio </w:t>
      </w:r>
      <w:r w:rsidRPr="0051193F">
        <w:rPr>
          <w:rFonts w:eastAsia="Batang"/>
          <w:lang w:eastAsia="ko-KR"/>
        </w:rPr>
        <w:t>Regulations have attempted to maintain these principles.  However, increased access to space and demand for communications creates incentives to “game” the rules, as we have seen before.  If loopholes are left open, pressure will increase on the limited and valuable spectrum resources.</w:t>
      </w:r>
    </w:p>
    <w:p w14:paraId="1C0B97B7" w14:textId="16B3091F" w:rsidR="0051193F" w:rsidRPr="0051193F" w:rsidRDefault="0051193F" w:rsidP="0051193F">
      <w:pPr>
        <w:pStyle w:val="Headingb"/>
        <w:rPr>
          <w:rFonts w:eastAsia="Batang"/>
        </w:rPr>
      </w:pPr>
      <w:r w:rsidRPr="0051193F">
        <w:rPr>
          <w:rFonts w:eastAsia="Batang"/>
        </w:rPr>
        <w:t xml:space="preserve">Proposal to </w:t>
      </w:r>
      <w:r w:rsidR="007F16E9">
        <w:rPr>
          <w:rFonts w:eastAsia="Batang"/>
        </w:rPr>
        <w:t>l</w:t>
      </w:r>
      <w:r w:rsidRPr="0051193F">
        <w:rPr>
          <w:rFonts w:eastAsia="Batang"/>
        </w:rPr>
        <w:t xml:space="preserve">imit </w:t>
      </w:r>
      <w:r w:rsidR="007F16E9">
        <w:rPr>
          <w:rFonts w:eastAsia="Batang"/>
        </w:rPr>
        <w:t>m</w:t>
      </w:r>
      <w:r w:rsidRPr="0051193F">
        <w:rPr>
          <w:rFonts w:eastAsia="Batang"/>
        </w:rPr>
        <w:t xml:space="preserve">isuse of BIU </w:t>
      </w:r>
      <w:r w:rsidR="007F16E9">
        <w:rPr>
          <w:rFonts w:eastAsia="Batang"/>
        </w:rPr>
        <w:t>p</w:t>
      </w:r>
      <w:r w:rsidRPr="0051193F">
        <w:rPr>
          <w:rFonts w:eastAsia="Batang"/>
        </w:rPr>
        <w:t>rocedures</w:t>
      </w:r>
    </w:p>
    <w:p w14:paraId="03C8158F" w14:textId="77777777" w:rsidR="0051193F" w:rsidRPr="0051193F" w:rsidRDefault="0051193F" w:rsidP="0051193F">
      <w:pPr>
        <w:rPr>
          <w:rFonts w:eastAsia="Batang"/>
          <w:lang w:eastAsia="ko-KR"/>
        </w:rPr>
      </w:pPr>
      <w:r w:rsidRPr="0051193F">
        <w:rPr>
          <w:rFonts w:eastAsia="Batang"/>
          <w:lang w:eastAsia="ko-KR"/>
        </w:rPr>
        <w:t>It is noted from the information provided by the BR that 88% of BIU notices were made using satellites that had been launched directly into the orbital slot, or had been moved once from a previous operational slot.  Only a small proportion are moved on multiple occasions, but it is recognised that satellite operators may have operational reasons to move satellites more than once. The Regulations should not unnecessarily impede those movements, but must balance operational flexibility with consistent enforcement of the principle of equitable access.</w:t>
      </w:r>
    </w:p>
    <w:p w14:paraId="2DEFCCC4" w14:textId="0164C55B" w:rsidR="0051193F" w:rsidRPr="0051193F" w:rsidRDefault="0051193F" w:rsidP="0051193F">
      <w:pPr>
        <w:rPr>
          <w:rFonts w:eastAsia="Batang"/>
          <w:lang w:eastAsia="ko-KR"/>
        </w:rPr>
      </w:pPr>
      <w:r>
        <w:rPr>
          <w:rFonts w:eastAsia="Batang"/>
          <w:lang w:eastAsia="ko-KR"/>
        </w:rPr>
        <w:t xml:space="preserve">RR </w:t>
      </w:r>
      <w:r w:rsidRPr="0051193F">
        <w:rPr>
          <w:rFonts w:eastAsia="Batang"/>
          <w:lang w:eastAsia="ko-KR"/>
        </w:rPr>
        <w:t xml:space="preserve">No. </w:t>
      </w:r>
      <w:r w:rsidRPr="0051193F">
        <w:rPr>
          <w:rFonts w:eastAsia="Batang"/>
          <w:b/>
          <w:bCs/>
          <w:lang w:eastAsia="ko-KR"/>
        </w:rPr>
        <w:t>11.44B</w:t>
      </w:r>
      <w:r w:rsidRPr="0051193F">
        <w:rPr>
          <w:rFonts w:eastAsia="Batang"/>
          <w:lang w:eastAsia="ko-KR"/>
        </w:rPr>
        <w:t xml:space="preserve"> requires that a satellite be deployed and maintained at the notified orbital position for a minimum continuous period of 90 days before BIU is accepted, a period which was the subject of significant debate before its adoption at WRC-12. Increasing this minimum period when a satellite is used to BIU multiple slots may deter such activity but not prevent it in cases where such movement is critical (for example to restore links to a failed satellite). The following is proposed as a possible sliding scale:</w:t>
      </w:r>
    </w:p>
    <w:p w14:paraId="638F4F6C" w14:textId="77777777" w:rsidR="0051193F" w:rsidRPr="0051193F" w:rsidRDefault="0051193F" w:rsidP="0051193F">
      <w:pPr>
        <w:rPr>
          <w:rFonts w:eastAsia="Batang"/>
          <w:lang w:eastAsia="ko-KR"/>
        </w:rPr>
      </w:pPr>
    </w:p>
    <w:tbl>
      <w:tblPr>
        <w:tblW w:w="60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23"/>
        <w:gridCol w:w="2268"/>
      </w:tblGrid>
      <w:tr w:rsidR="0051193F" w:rsidRPr="0051193F" w14:paraId="671FFD9B" w14:textId="77777777" w:rsidTr="0051193F">
        <w:trPr>
          <w:trHeight w:val="300"/>
          <w:jc w:val="center"/>
        </w:trPr>
        <w:tc>
          <w:tcPr>
            <w:tcW w:w="3823" w:type="dxa"/>
            <w:shd w:val="clear" w:color="000000" w:fill="D9D9D9"/>
            <w:noWrap/>
            <w:vAlign w:val="center"/>
            <w:hideMark/>
          </w:tcPr>
          <w:p w14:paraId="0BE6C25F" w14:textId="77777777" w:rsidR="0051193F" w:rsidRPr="0051193F" w:rsidRDefault="0051193F" w:rsidP="0051193F">
            <w:pPr>
              <w:pStyle w:val="Tablehead"/>
              <w:rPr>
                <w:lang w:eastAsia="en-GB"/>
              </w:rPr>
            </w:pPr>
            <w:r w:rsidRPr="0051193F">
              <w:rPr>
                <w:lang w:eastAsia="en-GB"/>
              </w:rPr>
              <w:t>Number of positions at which the satellite was used previously</w:t>
            </w:r>
          </w:p>
        </w:tc>
        <w:tc>
          <w:tcPr>
            <w:tcW w:w="2268" w:type="dxa"/>
            <w:shd w:val="clear" w:color="000000" w:fill="D9D9D9"/>
            <w:noWrap/>
            <w:vAlign w:val="center"/>
            <w:hideMark/>
          </w:tcPr>
          <w:p w14:paraId="2EBB6BB6" w14:textId="77777777" w:rsidR="0051193F" w:rsidRPr="0051193F" w:rsidRDefault="0051193F" w:rsidP="0051193F">
            <w:pPr>
              <w:pStyle w:val="Tablehead"/>
              <w:rPr>
                <w:lang w:eastAsia="en-GB"/>
              </w:rPr>
            </w:pPr>
            <w:r w:rsidRPr="0051193F">
              <w:rPr>
                <w:lang w:eastAsia="en-GB"/>
              </w:rPr>
              <w:t>Minimum period for BIU (days)</w:t>
            </w:r>
          </w:p>
        </w:tc>
      </w:tr>
      <w:tr w:rsidR="0051193F" w:rsidRPr="0051193F" w14:paraId="3D8DFABC" w14:textId="77777777" w:rsidTr="0051193F">
        <w:trPr>
          <w:trHeight w:val="300"/>
          <w:jc w:val="center"/>
        </w:trPr>
        <w:tc>
          <w:tcPr>
            <w:tcW w:w="3823" w:type="dxa"/>
            <w:shd w:val="clear" w:color="auto" w:fill="auto"/>
            <w:noWrap/>
            <w:vAlign w:val="center"/>
            <w:hideMark/>
          </w:tcPr>
          <w:p w14:paraId="51511101" w14:textId="77777777" w:rsidR="0051193F" w:rsidRPr="0051193F" w:rsidRDefault="0051193F" w:rsidP="0051193F">
            <w:pPr>
              <w:pStyle w:val="Tabletext"/>
              <w:jc w:val="center"/>
              <w:rPr>
                <w:lang w:eastAsia="en-GB"/>
              </w:rPr>
            </w:pPr>
            <w:r w:rsidRPr="0051193F">
              <w:rPr>
                <w:lang w:eastAsia="en-GB"/>
              </w:rPr>
              <w:t>0</w:t>
            </w:r>
          </w:p>
        </w:tc>
        <w:tc>
          <w:tcPr>
            <w:tcW w:w="2268" w:type="dxa"/>
            <w:shd w:val="clear" w:color="auto" w:fill="auto"/>
            <w:noWrap/>
            <w:vAlign w:val="center"/>
          </w:tcPr>
          <w:p w14:paraId="2E062A35" w14:textId="77777777" w:rsidR="0051193F" w:rsidRPr="0051193F" w:rsidRDefault="0051193F" w:rsidP="0051193F">
            <w:pPr>
              <w:pStyle w:val="Tabletext"/>
              <w:jc w:val="center"/>
              <w:rPr>
                <w:lang w:eastAsia="en-GB"/>
              </w:rPr>
            </w:pPr>
            <w:r w:rsidRPr="0051193F">
              <w:rPr>
                <w:lang w:eastAsia="en-GB"/>
              </w:rPr>
              <w:t>90</w:t>
            </w:r>
          </w:p>
        </w:tc>
      </w:tr>
      <w:tr w:rsidR="0051193F" w:rsidRPr="0051193F" w14:paraId="46ED7B64" w14:textId="77777777" w:rsidTr="0051193F">
        <w:trPr>
          <w:trHeight w:val="300"/>
          <w:jc w:val="center"/>
        </w:trPr>
        <w:tc>
          <w:tcPr>
            <w:tcW w:w="3823" w:type="dxa"/>
            <w:shd w:val="clear" w:color="auto" w:fill="auto"/>
            <w:noWrap/>
            <w:vAlign w:val="center"/>
            <w:hideMark/>
          </w:tcPr>
          <w:p w14:paraId="0AD8E314" w14:textId="77777777" w:rsidR="0051193F" w:rsidRPr="0051193F" w:rsidRDefault="0051193F" w:rsidP="0051193F">
            <w:pPr>
              <w:pStyle w:val="Tabletext"/>
              <w:jc w:val="center"/>
              <w:rPr>
                <w:lang w:eastAsia="en-GB"/>
              </w:rPr>
            </w:pPr>
            <w:r w:rsidRPr="0051193F">
              <w:rPr>
                <w:lang w:eastAsia="en-GB"/>
              </w:rPr>
              <w:t>1</w:t>
            </w:r>
          </w:p>
        </w:tc>
        <w:tc>
          <w:tcPr>
            <w:tcW w:w="2268" w:type="dxa"/>
            <w:shd w:val="clear" w:color="auto" w:fill="auto"/>
            <w:noWrap/>
            <w:vAlign w:val="center"/>
          </w:tcPr>
          <w:p w14:paraId="3D8C3581" w14:textId="77777777" w:rsidR="0051193F" w:rsidRPr="0051193F" w:rsidRDefault="0051193F" w:rsidP="0051193F">
            <w:pPr>
              <w:pStyle w:val="Tabletext"/>
              <w:jc w:val="center"/>
              <w:rPr>
                <w:lang w:eastAsia="en-GB"/>
              </w:rPr>
            </w:pPr>
            <w:r w:rsidRPr="0051193F">
              <w:rPr>
                <w:lang w:eastAsia="en-GB"/>
              </w:rPr>
              <w:t>90</w:t>
            </w:r>
          </w:p>
        </w:tc>
      </w:tr>
      <w:tr w:rsidR="0051193F" w:rsidRPr="0051193F" w14:paraId="3BF1E9BF" w14:textId="77777777" w:rsidTr="0051193F">
        <w:trPr>
          <w:trHeight w:val="300"/>
          <w:jc w:val="center"/>
        </w:trPr>
        <w:tc>
          <w:tcPr>
            <w:tcW w:w="3823" w:type="dxa"/>
            <w:shd w:val="clear" w:color="auto" w:fill="auto"/>
            <w:noWrap/>
            <w:vAlign w:val="center"/>
            <w:hideMark/>
          </w:tcPr>
          <w:p w14:paraId="1FA389E4" w14:textId="77777777" w:rsidR="0051193F" w:rsidRPr="0051193F" w:rsidRDefault="0051193F" w:rsidP="0051193F">
            <w:pPr>
              <w:pStyle w:val="Tabletext"/>
              <w:jc w:val="center"/>
              <w:rPr>
                <w:lang w:eastAsia="en-GB"/>
              </w:rPr>
            </w:pPr>
            <w:r w:rsidRPr="0051193F">
              <w:rPr>
                <w:lang w:eastAsia="en-GB"/>
              </w:rPr>
              <w:t>2</w:t>
            </w:r>
          </w:p>
        </w:tc>
        <w:tc>
          <w:tcPr>
            <w:tcW w:w="2268" w:type="dxa"/>
            <w:shd w:val="clear" w:color="auto" w:fill="auto"/>
            <w:noWrap/>
            <w:vAlign w:val="center"/>
          </w:tcPr>
          <w:p w14:paraId="5FEDAC25" w14:textId="77777777" w:rsidR="0051193F" w:rsidRPr="0051193F" w:rsidRDefault="0051193F" w:rsidP="0051193F">
            <w:pPr>
              <w:pStyle w:val="Tabletext"/>
              <w:jc w:val="center"/>
              <w:rPr>
                <w:lang w:eastAsia="en-GB"/>
              </w:rPr>
            </w:pPr>
            <w:r w:rsidRPr="0051193F">
              <w:rPr>
                <w:lang w:eastAsia="en-GB"/>
              </w:rPr>
              <w:t>180</w:t>
            </w:r>
          </w:p>
        </w:tc>
      </w:tr>
      <w:tr w:rsidR="0051193F" w:rsidRPr="0051193F" w14:paraId="7CEE48EA" w14:textId="77777777" w:rsidTr="0051193F">
        <w:trPr>
          <w:trHeight w:val="300"/>
          <w:jc w:val="center"/>
        </w:trPr>
        <w:tc>
          <w:tcPr>
            <w:tcW w:w="3823" w:type="dxa"/>
            <w:shd w:val="clear" w:color="auto" w:fill="auto"/>
            <w:noWrap/>
            <w:vAlign w:val="center"/>
            <w:hideMark/>
          </w:tcPr>
          <w:p w14:paraId="4AA12A37" w14:textId="77777777" w:rsidR="0051193F" w:rsidRPr="0051193F" w:rsidRDefault="0051193F" w:rsidP="0051193F">
            <w:pPr>
              <w:pStyle w:val="Tabletext"/>
              <w:jc w:val="center"/>
              <w:rPr>
                <w:lang w:eastAsia="en-GB"/>
              </w:rPr>
            </w:pPr>
            <w:r w:rsidRPr="0051193F">
              <w:rPr>
                <w:lang w:eastAsia="en-GB"/>
              </w:rPr>
              <w:t>3</w:t>
            </w:r>
          </w:p>
        </w:tc>
        <w:tc>
          <w:tcPr>
            <w:tcW w:w="2268" w:type="dxa"/>
            <w:shd w:val="clear" w:color="auto" w:fill="auto"/>
            <w:noWrap/>
            <w:vAlign w:val="center"/>
          </w:tcPr>
          <w:p w14:paraId="23DD540D" w14:textId="77777777" w:rsidR="0051193F" w:rsidRPr="0051193F" w:rsidRDefault="0051193F" w:rsidP="0051193F">
            <w:pPr>
              <w:pStyle w:val="Tabletext"/>
              <w:jc w:val="center"/>
              <w:rPr>
                <w:lang w:eastAsia="en-GB"/>
              </w:rPr>
            </w:pPr>
            <w:r w:rsidRPr="0051193F">
              <w:rPr>
                <w:lang w:eastAsia="en-GB"/>
              </w:rPr>
              <w:t>180</w:t>
            </w:r>
          </w:p>
        </w:tc>
      </w:tr>
      <w:tr w:rsidR="0051193F" w:rsidRPr="0051193F" w14:paraId="4C0D59BB" w14:textId="77777777" w:rsidTr="0051193F">
        <w:trPr>
          <w:trHeight w:val="300"/>
          <w:jc w:val="center"/>
        </w:trPr>
        <w:tc>
          <w:tcPr>
            <w:tcW w:w="3823" w:type="dxa"/>
            <w:shd w:val="clear" w:color="auto" w:fill="auto"/>
            <w:noWrap/>
            <w:vAlign w:val="center"/>
            <w:hideMark/>
          </w:tcPr>
          <w:p w14:paraId="5C70432D" w14:textId="77777777" w:rsidR="0051193F" w:rsidRPr="0051193F" w:rsidRDefault="0051193F" w:rsidP="0051193F">
            <w:pPr>
              <w:pStyle w:val="Tabletext"/>
              <w:jc w:val="center"/>
              <w:rPr>
                <w:lang w:eastAsia="en-GB"/>
              </w:rPr>
            </w:pPr>
            <w:r w:rsidRPr="0051193F">
              <w:rPr>
                <w:lang w:eastAsia="en-GB"/>
              </w:rPr>
              <w:t>4 or more positions</w:t>
            </w:r>
          </w:p>
        </w:tc>
        <w:tc>
          <w:tcPr>
            <w:tcW w:w="2268" w:type="dxa"/>
            <w:shd w:val="clear" w:color="auto" w:fill="auto"/>
            <w:noWrap/>
            <w:vAlign w:val="center"/>
          </w:tcPr>
          <w:p w14:paraId="59CDED16" w14:textId="77777777" w:rsidR="0051193F" w:rsidRPr="0051193F" w:rsidRDefault="0051193F" w:rsidP="0051193F">
            <w:pPr>
              <w:pStyle w:val="Tabletext"/>
              <w:jc w:val="center"/>
              <w:rPr>
                <w:lang w:eastAsia="en-GB"/>
              </w:rPr>
            </w:pPr>
            <w:r w:rsidRPr="0051193F">
              <w:rPr>
                <w:lang w:eastAsia="en-GB"/>
              </w:rPr>
              <w:t>360</w:t>
            </w:r>
          </w:p>
        </w:tc>
      </w:tr>
    </w:tbl>
    <w:p w14:paraId="373834A0" w14:textId="77777777" w:rsidR="0051193F" w:rsidRPr="0051193F" w:rsidRDefault="0051193F" w:rsidP="0051193F">
      <w:pPr>
        <w:pStyle w:val="Tablefin"/>
        <w:rPr>
          <w:rFonts w:eastAsia="Batang"/>
        </w:rPr>
      </w:pPr>
    </w:p>
    <w:p w14:paraId="0247A1DD" w14:textId="77777777" w:rsidR="0051193F" w:rsidRPr="0051193F" w:rsidRDefault="0051193F" w:rsidP="0051193F">
      <w:pPr>
        <w:rPr>
          <w:rFonts w:eastAsia="Batang"/>
          <w:lang w:eastAsia="ko-KR"/>
        </w:rPr>
      </w:pPr>
      <w:r w:rsidRPr="0051193F">
        <w:rPr>
          <w:rFonts w:eastAsia="Batang"/>
          <w:lang w:eastAsia="ko-KR"/>
        </w:rPr>
        <w:t>This approach does not impact the vast majority of BIU notifications. It places an increasing disincentive to the use of a satellite for multiple BIUs, but does not restrict an operator from taking such action where operational needs require it.</w:t>
      </w:r>
    </w:p>
    <w:p w14:paraId="465B931C" w14:textId="61E0508F" w:rsidR="0051193F" w:rsidRDefault="0051193F" w:rsidP="0051193F">
      <w:pPr>
        <w:rPr>
          <w:lang w:eastAsia="zh-CN"/>
        </w:rPr>
      </w:pPr>
    </w:p>
    <w:p w14:paraId="757F5816" w14:textId="5FE7DFB7" w:rsidR="0051193F" w:rsidRDefault="0051193F" w:rsidP="0051193F">
      <w:pPr>
        <w:jc w:val="center"/>
        <w:rPr>
          <w:lang w:eastAsia="zh-CN"/>
        </w:rPr>
      </w:pPr>
      <w:r>
        <w:rPr>
          <w:lang w:eastAsia="zh-CN"/>
        </w:rPr>
        <w:t>_______________</w:t>
      </w:r>
    </w:p>
    <w:sectPr w:rsidR="0051193F"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D4C9" w14:textId="77777777" w:rsidR="00196EB4" w:rsidRDefault="00196EB4">
      <w:r>
        <w:separator/>
      </w:r>
    </w:p>
  </w:endnote>
  <w:endnote w:type="continuationSeparator" w:id="0">
    <w:p w14:paraId="64BD6752" w14:textId="77777777" w:rsidR="00196EB4" w:rsidRDefault="0019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63C2" w14:textId="22711054" w:rsidR="00FA124A" w:rsidRPr="002F7CB3" w:rsidRDefault="007F16E9">
    <w:pPr>
      <w:pStyle w:val="Footer"/>
      <w:rPr>
        <w:lang w:val="en-US"/>
      </w:rPr>
    </w:pPr>
    <w:r>
      <w:fldChar w:fldCharType="begin"/>
    </w:r>
    <w:r>
      <w:instrText xml:space="preserve"> FILENAME \p \* MERGEFORMAT </w:instrText>
    </w:r>
    <w:r>
      <w:fldChar w:fldCharType="separate"/>
    </w:r>
    <w:r w:rsidR="0051193F" w:rsidRPr="0051193F">
      <w:rPr>
        <w:lang w:val="en-US"/>
      </w:rPr>
      <w:t>M</w:t>
    </w:r>
    <w:r w:rsidR="0051193F">
      <w:t>:\BRSGD\TEXT2019\SG04\WP4A\400\497e.docx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114BBA">
      <w:t>21.10.21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51193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365F" w14:textId="4199D8D6" w:rsidR="00FA124A" w:rsidRPr="002F7CB3" w:rsidRDefault="007F16E9" w:rsidP="00E6257C">
    <w:pPr>
      <w:pStyle w:val="Footer"/>
      <w:rPr>
        <w:lang w:val="en-US"/>
      </w:rPr>
    </w:pPr>
    <w:r>
      <w:fldChar w:fldCharType="begin"/>
    </w:r>
    <w:r>
      <w:instrText xml:space="preserve"> FILENAME \p \* MERGEFORMAT </w:instrText>
    </w:r>
    <w:r>
      <w:fldChar w:fldCharType="separate"/>
    </w:r>
    <w:r w:rsidR="0051193F" w:rsidRPr="0051193F">
      <w:rPr>
        <w:lang w:val="en-US"/>
      </w:rPr>
      <w:t>M</w:t>
    </w:r>
    <w:r w:rsidR="0051193F">
      <w:t>:\BRSGD\TEXT2019\SG04\WP4A\400\497e.docx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114BBA">
      <w:t>21.10.21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51193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1D1B" w14:textId="77777777" w:rsidR="00196EB4" w:rsidRDefault="00196EB4">
      <w:r>
        <w:t>____________________</w:t>
      </w:r>
    </w:p>
  </w:footnote>
  <w:footnote w:type="continuationSeparator" w:id="0">
    <w:p w14:paraId="36B966A1" w14:textId="77777777" w:rsidR="00196EB4" w:rsidRDefault="0019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6D42"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545F6F8A" w14:textId="6C4DB340" w:rsidR="00FA124A" w:rsidRDefault="00196EB4">
    <w:pPr>
      <w:pStyle w:val="Header"/>
      <w:rPr>
        <w:lang w:val="en-US"/>
      </w:rPr>
    </w:pPr>
    <w:r>
      <w:rPr>
        <w:lang w:val="en-US"/>
      </w:rPr>
      <w:t>4A/497-E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F163C"/>
    <w:multiLevelType w:val="hybridMultilevel"/>
    <w:tmpl w:val="5C1609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B4"/>
    <w:rsid w:val="000069D4"/>
    <w:rsid w:val="000174AD"/>
    <w:rsid w:val="00047A1D"/>
    <w:rsid w:val="000604B9"/>
    <w:rsid w:val="000A7D55"/>
    <w:rsid w:val="000C12C8"/>
    <w:rsid w:val="000C2E8E"/>
    <w:rsid w:val="000E0E7C"/>
    <w:rsid w:val="000F1B4B"/>
    <w:rsid w:val="00114BBA"/>
    <w:rsid w:val="0012744F"/>
    <w:rsid w:val="00131178"/>
    <w:rsid w:val="00156F66"/>
    <w:rsid w:val="00163271"/>
    <w:rsid w:val="00172122"/>
    <w:rsid w:val="00182528"/>
    <w:rsid w:val="0018500B"/>
    <w:rsid w:val="00196A19"/>
    <w:rsid w:val="00196EB4"/>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193F"/>
    <w:rsid w:val="00513A47"/>
    <w:rsid w:val="005408DF"/>
    <w:rsid w:val="00573344"/>
    <w:rsid w:val="00583F9B"/>
    <w:rsid w:val="005B0D29"/>
    <w:rsid w:val="005E5C10"/>
    <w:rsid w:val="005F2C78"/>
    <w:rsid w:val="006144E4"/>
    <w:rsid w:val="00650299"/>
    <w:rsid w:val="00655FC5"/>
    <w:rsid w:val="007F16E9"/>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57C75"/>
  <w15:docId w15:val="{BDA3B1E1-4301-4FA4-B7D1-896436E0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WP4A-C-0099/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WP4A-C-0281/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R19-WP4A-C-0281/en" TargetMode="External"/><Relationship Id="rId4" Type="http://schemas.openxmlformats.org/officeDocument/2006/relationships/webSettings" Target="webSettings.xml"/><Relationship Id="rId9" Type="http://schemas.openxmlformats.org/officeDocument/2006/relationships/hyperlink" Target="https://www.itu.int/md/R19-WP4A-C-0291/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7</TotalTime>
  <Pages>2</Pages>
  <Words>690</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Author</cp:lastModifiedBy>
  <cp:revision>4</cp:revision>
  <cp:lastPrinted>2008-02-21T14:04:00Z</cp:lastPrinted>
  <dcterms:created xsi:type="dcterms:W3CDTF">2021-10-21T09:20:00Z</dcterms:created>
  <dcterms:modified xsi:type="dcterms:W3CDTF">2021-10-21T16:51:00Z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