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46897DA1" w14:textId="77777777" w:rsidTr="00876A8A">
        <w:trPr>
          <w:cantSplit/>
        </w:trPr>
        <w:tc>
          <w:tcPr>
            <w:tcW w:w="6487" w:type="dxa"/>
            <w:vAlign w:val="center"/>
          </w:tcPr>
          <w:p w14:paraId="0A02BAEC"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25C9B74B" w14:textId="14A7B1F2" w:rsidR="009F6520" w:rsidRDefault="00D85A81" w:rsidP="00D85A81">
            <w:pPr>
              <w:shd w:val="solid" w:color="FFFFFF" w:fill="FFFFFF"/>
              <w:spacing w:before="0" w:line="240" w:lineRule="atLeast"/>
            </w:pPr>
            <w:bookmarkStart w:id="0" w:name="ditulogo"/>
            <w:bookmarkEnd w:id="0"/>
            <w:r>
              <w:rPr>
                <w:noProof/>
                <w:lang w:eastAsia="en-GB"/>
              </w:rPr>
              <w:drawing>
                <wp:inline distT="0" distB="0" distL="0" distR="0" wp14:anchorId="00625E65" wp14:editId="58CBF51F">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1CBEBEAD" w14:textId="77777777" w:rsidTr="00876A8A">
        <w:trPr>
          <w:cantSplit/>
        </w:trPr>
        <w:tc>
          <w:tcPr>
            <w:tcW w:w="6487" w:type="dxa"/>
            <w:tcBorders>
              <w:bottom w:val="single" w:sz="12" w:space="0" w:color="auto"/>
            </w:tcBorders>
          </w:tcPr>
          <w:p w14:paraId="23A56AF9"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C059200" w14:textId="77777777" w:rsidR="000069D4" w:rsidRPr="0051782D" w:rsidRDefault="000069D4" w:rsidP="00A5173C">
            <w:pPr>
              <w:shd w:val="solid" w:color="FFFFFF" w:fill="FFFFFF"/>
              <w:spacing w:before="0" w:after="48" w:line="240" w:lineRule="atLeast"/>
              <w:rPr>
                <w:sz w:val="22"/>
                <w:szCs w:val="22"/>
                <w:lang w:val="en-US"/>
              </w:rPr>
            </w:pPr>
          </w:p>
        </w:tc>
      </w:tr>
      <w:tr w:rsidR="000069D4" w14:paraId="0241423B" w14:textId="77777777" w:rsidTr="00876A8A">
        <w:trPr>
          <w:cantSplit/>
        </w:trPr>
        <w:tc>
          <w:tcPr>
            <w:tcW w:w="6487" w:type="dxa"/>
            <w:tcBorders>
              <w:top w:val="single" w:sz="12" w:space="0" w:color="auto"/>
            </w:tcBorders>
          </w:tcPr>
          <w:p w14:paraId="5CA5C0EC"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DE701E9" w14:textId="77777777" w:rsidR="000069D4" w:rsidRPr="00710D66" w:rsidRDefault="000069D4" w:rsidP="00A5173C">
            <w:pPr>
              <w:shd w:val="solid" w:color="FFFFFF" w:fill="FFFFFF"/>
              <w:spacing w:before="0" w:after="48" w:line="240" w:lineRule="atLeast"/>
              <w:rPr>
                <w:lang w:val="en-US"/>
              </w:rPr>
            </w:pPr>
          </w:p>
        </w:tc>
      </w:tr>
      <w:tr w:rsidR="000069D4" w14:paraId="4E14C2A2" w14:textId="77777777" w:rsidTr="00876A8A">
        <w:trPr>
          <w:cantSplit/>
        </w:trPr>
        <w:tc>
          <w:tcPr>
            <w:tcW w:w="6487" w:type="dxa"/>
            <w:vMerge w:val="restart"/>
          </w:tcPr>
          <w:p w14:paraId="678017DC" w14:textId="036528E7" w:rsidR="000F4236" w:rsidRPr="00724F80" w:rsidRDefault="000F4236" w:rsidP="000F4236">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724F80">
              <w:rPr>
                <w:rFonts w:ascii="Verdana" w:hAnsi="Verdana"/>
                <w:sz w:val="20"/>
                <w:lang w:eastAsia="ja-JP"/>
              </w:rPr>
              <w:t>Received</w:t>
            </w:r>
            <w:r w:rsidRPr="00724F80">
              <w:rPr>
                <w:rFonts w:ascii="Verdana" w:hAnsi="Verdana"/>
                <w:sz w:val="20"/>
              </w:rPr>
              <w:t>:</w:t>
            </w:r>
            <w:r w:rsidRPr="00724F80">
              <w:rPr>
                <w:rFonts w:ascii="Verdana" w:hAnsi="Verdana"/>
                <w:sz w:val="20"/>
              </w:rPr>
              <w:tab/>
            </w:r>
            <w:r>
              <w:rPr>
                <w:rFonts w:ascii="Verdana" w:hAnsi="Verdana"/>
                <w:sz w:val="20"/>
              </w:rPr>
              <w:t>4 May 2022</w:t>
            </w:r>
          </w:p>
          <w:p w14:paraId="1C968B35" w14:textId="3820457D" w:rsidR="00D85A81" w:rsidRPr="00982084" w:rsidRDefault="000F4236" w:rsidP="000F4236">
            <w:pPr>
              <w:shd w:val="solid" w:color="FFFFFF" w:fill="FFFFFF"/>
              <w:tabs>
                <w:tab w:val="clear" w:pos="1134"/>
                <w:tab w:val="clear" w:pos="1871"/>
                <w:tab w:val="clear" w:pos="2268"/>
              </w:tabs>
              <w:spacing w:before="0" w:after="240"/>
              <w:ind w:left="1134" w:hanging="1134"/>
              <w:rPr>
                <w:rFonts w:ascii="Verdana" w:hAnsi="Verdana"/>
                <w:sz w:val="20"/>
              </w:rPr>
            </w:pPr>
            <w:r w:rsidRPr="00724F80">
              <w:rPr>
                <w:rFonts w:ascii="Verdana" w:hAnsi="Verdana" w:cs="Times New Roman Bold"/>
                <w:bCs/>
                <w:sz w:val="20"/>
              </w:rPr>
              <w:t>Subject:</w:t>
            </w:r>
            <w:r w:rsidRPr="00724F80">
              <w:rPr>
                <w:rFonts w:ascii="Verdana" w:hAnsi="Verdana" w:cs="Times New Roman Bold"/>
                <w:bCs/>
                <w:sz w:val="20"/>
              </w:rPr>
              <w:tab/>
              <w:t>WRC-23 agenda item 7, Topic F</w:t>
            </w:r>
            <w:r w:rsidRPr="00724F80">
              <w:rPr>
                <w:rFonts w:ascii="Verdana" w:hAnsi="Verdana" w:cs="Times New Roman Bold"/>
                <w:bCs/>
                <w:sz w:val="20"/>
              </w:rPr>
              <w:br/>
            </w:r>
            <w:r w:rsidRPr="00724F80">
              <w:rPr>
                <w:rFonts w:ascii="Verdana" w:hAnsi="Verdana"/>
                <w:sz w:val="20"/>
              </w:rPr>
              <w:t xml:space="preserve">Resolution </w:t>
            </w:r>
            <w:r w:rsidRPr="00724F80">
              <w:rPr>
                <w:rFonts w:ascii="Verdana" w:hAnsi="Verdana"/>
                <w:b/>
                <w:bCs/>
                <w:sz w:val="20"/>
              </w:rPr>
              <w:t>86 (Rev.WRC-07)</w:t>
            </w:r>
          </w:p>
        </w:tc>
        <w:tc>
          <w:tcPr>
            <w:tcW w:w="3402" w:type="dxa"/>
          </w:tcPr>
          <w:p w14:paraId="56672574" w14:textId="23879B74" w:rsidR="000069D4" w:rsidRPr="00D85A81" w:rsidRDefault="00D85A81"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4A/664-E</w:t>
            </w:r>
          </w:p>
        </w:tc>
      </w:tr>
      <w:tr w:rsidR="000069D4" w14:paraId="13C03F1B" w14:textId="77777777" w:rsidTr="00876A8A">
        <w:trPr>
          <w:cantSplit/>
        </w:trPr>
        <w:tc>
          <w:tcPr>
            <w:tcW w:w="6487" w:type="dxa"/>
            <w:vMerge/>
          </w:tcPr>
          <w:p w14:paraId="0D7BA57C"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5B883759" w14:textId="2463764D" w:rsidR="000069D4" w:rsidRPr="00D85A81" w:rsidRDefault="00D85A81" w:rsidP="00A5173C">
            <w:pPr>
              <w:shd w:val="solid" w:color="FFFFFF" w:fill="FFFFFF"/>
              <w:spacing w:before="0" w:line="240" w:lineRule="atLeast"/>
              <w:rPr>
                <w:rFonts w:ascii="Verdana" w:hAnsi="Verdana"/>
                <w:sz w:val="20"/>
                <w:lang w:eastAsia="zh-CN"/>
              </w:rPr>
            </w:pPr>
            <w:r>
              <w:rPr>
                <w:rFonts w:ascii="Verdana" w:hAnsi="Verdana"/>
                <w:b/>
                <w:sz w:val="20"/>
                <w:lang w:eastAsia="zh-CN"/>
              </w:rPr>
              <w:t>5 May 2022</w:t>
            </w:r>
          </w:p>
        </w:tc>
      </w:tr>
      <w:tr w:rsidR="000069D4" w14:paraId="6D37C965" w14:textId="77777777" w:rsidTr="00876A8A">
        <w:trPr>
          <w:cantSplit/>
        </w:trPr>
        <w:tc>
          <w:tcPr>
            <w:tcW w:w="6487" w:type="dxa"/>
            <w:vMerge/>
          </w:tcPr>
          <w:p w14:paraId="5141A641"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5E93F556" w14:textId="16BE348D" w:rsidR="000069D4" w:rsidRPr="00D85A81" w:rsidRDefault="00D85A8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F4236" w14:paraId="0421C1EE" w14:textId="77777777" w:rsidTr="00D046A7">
        <w:trPr>
          <w:cantSplit/>
        </w:trPr>
        <w:tc>
          <w:tcPr>
            <w:tcW w:w="9889" w:type="dxa"/>
            <w:gridSpan w:val="2"/>
          </w:tcPr>
          <w:p w14:paraId="103609C7" w14:textId="18FC5CC2" w:rsidR="000F4236" w:rsidRDefault="000F4236" w:rsidP="000F4236">
            <w:pPr>
              <w:pStyle w:val="Source"/>
              <w:rPr>
                <w:lang w:eastAsia="zh-CN"/>
              </w:rPr>
            </w:pPr>
            <w:bookmarkStart w:id="5" w:name="dsource" w:colFirst="0" w:colLast="0"/>
            <w:bookmarkEnd w:id="4"/>
            <w:r>
              <w:rPr>
                <w:lang w:eastAsia="ja-JP"/>
              </w:rPr>
              <w:t>Saudi Arabia (Kingdom of)</w:t>
            </w:r>
          </w:p>
        </w:tc>
      </w:tr>
      <w:tr w:rsidR="000F4236" w14:paraId="54966373" w14:textId="77777777" w:rsidTr="00D046A7">
        <w:trPr>
          <w:cantSplit/>
        </w:trPr>
        <w:tc>
          <w:tcPr>
            <w:tcW w:w="9889" w:type="dxa"/>
            <w:gridSpan w:val="2"/>
          </w:tcPr>
          <w:p w14:paraId="1E198880" w14:textId="247F3507" w:rsidR="000F4236" w:rsidRDefault="000F4236" w:rsidP="000F4236">
            <w:pPr>
              <w:pStyle w:val="Title1"/>
              <w:rPr>
                <w:lang w:eastAsia="zh-CN"/>
              </w:rPr>
            </w:pPr>
            <w:bookmarkStart w:id="6" w:name="drec" w:colFirst="0" w:colLast="0"/>
            <w:bookmarkEnd w:id="5"/>
            <w:r w:rsidRPr="00724F80">
              <w:t>WORKING DOCUMENT TOWARDS DRAFT CPM TEXT FOR</w:t>
            </w:r>
            <w:r w:rsidRPr="00724F80">
              <w:br/>
            </w:r>
            <w:r w:rsidRPr="00724F80">
              <w:rPr>
                <w:szCs w:val="28"/>
              </w:rPr>
              <w:t>WRC-23 AGENDA ITEM 7, TOPIC F</w:t>
            </w:r>
          </w:p>
        </w:tc>
      </w:tr>
      <w:tr w:rsidR="000F4236" w14:paraId="3D7CD6FD" w14:textId="77777777" w:rsidTr="00D046A7">
        <w:trPr>
          <w:cantSplit/>
        </w:trPr>
        <w:tc>
          <w:tcPr>
            <w:tcW w:w="9889" w:type="dxa"/>
            <w:gridSpan w:val="2"/>
          </w:tcPr>
          <w:p w14:paraId="28722186" w14:textId="3F220A03" w:rsidR="000F4236" w:rsidRDefault="000F4236" w:rsidP="000F4236">
            <w:pPr>
              <w:pStyle w:val="Title4"/>
              <w:rPr>
                <w:lang w:eastAsia="zh-CN"/>
              </w:rPr>
            </w:pPr>
            <w:bookmarkStart w:id="7" w:name="dtitle1" w:colFirst="0" w:colLast="0"/>
            <w:bookmarkEnd w:id="6"/>
            <w:r>
              <w:t>E</w:t>
            </w:r>
            <w:r w:rsidRPr="00724F80">
              <w:t>xclu</w:t>
            </w:r>
            <w:r>
              <w:t>sion of</w:t>
            </w:r>
            <w:r w:rsidRPr="00724F80">
              <w:t xml:space="preserve"> service and coverage areas </w:t>
            </w:r>
            <w:r>
              <w:t>for</w:t>
            </w:r>
            <w:r w:rsidRPr="00724F80">
              <w:t xml:space="preserve"> feeder-link</w:t>
            </w:r>
            <w:r>
              <w:t>s</w:t>
            </w:r>
            <w:r w:rsidRPr="00724F80">
              <w:t>/</w:t>
            </w:r>
            <w:r>
              <w:t>u</w:t>
            </w:r>
            <w:r w:rsidRPr="00724F80">
              <w:t>plink</w:t>
            </w:r>
            <w:r>
              <w:t>s</w:t>
            </w:r>
            <w:r w:rsidRPr="00724F80">
              <w:t xml:space="preserve"> in the bands subject to RR Appendix 30A and RR Appendix 30B</w:t>
            </w:r>
          </w:p>
        </w:tc>
      </w:tr>
    </w:tbl>
    <w:p w14:paraId="4B5D90FC" w14:textId="77777777" w:rsidR="000F4236" w:rsidRPr="00724F80" w:rsidRDefault="000F4236" w:rsidP="007A4CE1">
      <w:pPr>
        <w:pStyle w:val="Heading1"/>
        <w:spacing w:before="600"/>
      </w:pPr>
      <w:bookmarkStart w:id="8" w:name="dbreak"/>
      <w:bookmarkEnd w:id="8"/>
      <w:bookmarkEnd w:id="7"/>
      <w:r w:rsidRPr="00724F80">
        <w:t>1</w:t>
      </w:r>
      <w:r w:rsidRPr="00724F80">
        <w:tab/>
        <w:t>Background</w:t>
      </w:r>
    </w:p>
    <w:p w14:paraId="5F8FECEF" w14:textId="0E90B616" w:rsidR="000F4236" w:rsidRPr="00724F80" w:rsidRDefault="000F4236" w:rsidP="007A4CE1">
      <w:pPr>
        <w:jc w:val="both"/>
        <w:rPr>
          <w:lang w:eastAsia="ja-JP"/>
        </w:rPr>
      </w:pPr>
      <w:bookmarkStart w:id="9" w:name="_Hlk59620975"/>
      <w:r>
        <w:rPr>
          <w:lang w:eastAsia="ja-JP"/>
        </w:rPr>
        <w:t>Working Party (</w:t>
      </w:r>
      <w:r w:rsidRPr="00724F80">
        <w:rPr>
          <w:lang w:eastAsia="ja-JP"/>
        </w:rPr>
        <w:t>WP</w:t>
      </w:r>
      <w:r>
        <w:rPr>
          <w:lang w:eastAsia="ja-JP"/>
        </w:rPr>
        <w:t xml:space="preserve">) </w:t>
      </w:r>
      <w:r w:rsidRPr="00724F80">
        <w:rPr>
          <w:lang w:eastAsia="ja-JP"/>
        </w:rPr>
        <w:t xml:space="preserve">4A </w:t>
      </w:r>
      <w:bookmarkEnd w:id="9"/>
      <w:r>
        <w:rPr>
          <w:lang w:eastAsia="ja-JP"/>
        </w:rPr>
        <w:t xml:space="preserve">has received proposals to </w:t>
      </w:r>
      <w:r w:rsidRPr="00724F80">
        <w:rPr>
          <w:lang w:eastAsia="ja-JP"/>
        </w:rPr>
        <w:t>exclud</w:t>
      </w:r>
      <w:r>
        <w:rPr>
          <w:lang w:eastAsia="ja-JP"/>
        </w:rPr>
        <w:t>e</w:t>
      </w:r>
      <w:r w:rsidRPr="00724F80">
        <w:rPr>
          <w:lang w:eastAsia="ja-JP"/>
        </w:rPr>
        <w:t xml:space="preserve"> the territory of an administration from the uplink service area in RR Appendix </w:t>
      </w:r>
      <w:r w:rsidRPr="00724F80">
        <w:rPr>
          <w:b/>
          <w:bCs/>
          <w:lang w:eastAsia="ja-JP"/>
        </w:rPr>
        <w:t>30A</w:t>
      </w:r>
      <w:r w:rsidRPr="00724F80">
        <w:rPr>
          <w:lang w:eastAsia="ja-JP"/>
        </w:rPr>
        <w:t xml:space="preserve"> for Regions 1 and 3, and on extending this to RR Appendix </w:t>
      </w:r>
      <w:r w:rsidRPr="00724F80">
        <w:rPr>
          <w:b/>
          <w:bCs/>
          <w:lang w:eastAsia="ja-JP"/>
        </w:rPr>
        <w:t>30B</w:t>
      </w:r>
      <w:r w:rsidRPr="007A2898">
        <w:rPr>
          <w:lang w:eastAsia="ja-JP"/>
        </w:rPr>
        <w:t>.</w:t>
      </w:r>
      <w:r w:rsidRPr="00724F80">
        <w:rPr>
          <w:lang w:eastAsia="ja-JP"/>
        </w:rPr>
        <w:t xml:space="preserve"> </w:t>
      </w:r>
      <w:r>
        <w:rPr>
          <w:lang w:eastAsia="ja-JP"/>
        </w:rPr>
        <w:t xml:space="preserve"> As a result of discussion within WP 4A, the subject was adopted as </w:t>
      </w:r>
      <w:r w:rsidRPr="00724F80">
        <w:rPr>
          <w:lang w:eastAsia="ja-JP"/>
        </w:rPr>
        <w:t>Topic F under</w:t>
      </w:r>
      <w:r>
        <w:rPr>
          <w:lang w:eastAsia="ja-JP"/>
        </w:rPr>
        <w:t xml:space="preserve"> WRC-23</w:t>
      </w:r>
      <w:r w:rsidRPr="00724F80">
        <w:rPr>
          <w:lang w:eastAsia="ja-JP"/>
        </w:rPr>
        <w:t xml:space="preserve"> </w:t>
      </w:r>
      <w:r>
        <w:rPr>
          <w:lang w:eastAsia="ja-JP"/>
        </w:rPr>
        <w:t xml:space="preserve">agenda item </w:t>
      </w:r>
      <w:r w:rsidRPr="00724F80">
        <w:rPr>
          <w:lang w:eastAsia="ja-JP"/>
        </w:rPr>
        <w:t>7 (</w:t>
      </w:r>
      <w:r>
        <w:rPr>
          <w:lang w:eastAsia="ja-JP"/>
        </w:rPr>
        <w:t xml:space="preserve">see </w:t>
      </w:r>
      <w:r w:rsidRPr="00724F80">
        <w:rPr>
          <w:lang w:eastAsia="ja-JP"/>
        </w:rPr>
        <w:t xml:space="preserve">Annex 21 to Doc. </w:t>
      </w:r>
      <w:hyperlink r:id="rId8" w:history="1">
        <w:r w:rsidRPr="003D6EC0">
          <w:rPr>
            <w:rStyle w:val="Hyperlink"/>
            <w:lang w:eastAsia="ja-JP"/>
          </w:rPr>
          <w:t>4A/392</w:t>
        </w:r>
      </w:hyperlink>
      <w:r w:rsidRPr="00724F80">
        <w:rPr>
          <w:lang w:eastAsia="ja-JP"/>
        </w:rPr>
        <w:t>).</w:t>
      </w:r>
    </w:p>
    <w:p w14:paraId="2F81816A" w14:textId="44CE3C16" w:rsidR="000F4236" w:rsidRPr="007A2898" w:rsidRDefault="000F4236" w:rsidP="007A2898">
      <w:pPr>
        <w:jc w:val="both"/>
        <w:rPr>
          <w:color w:val="000000" w:themeColor="text1"/>
          <w:lang w:eastAsia="ja-JP"/>
        </w:rPr>
      </w:pPr>
      <w:r>
        <w:rPr>
          <w:lang w:eastAsia="ja-JP"/>
        </w:rPr>
        <w:t xml:space="preserve">Saudi Arabia </w:t>
      </w:r>
      <w:r w:rsidRPr="00724F80">
        <w:rPr>
          <w:lang w:eastAsia="ja-JP"/>
        </w:rPr>
        <w:t xml:space="preserve">proposes </w:t>
      </w:r>
      <w:r>
        <w:rPr>
          <w:lang w:eastAsia="ja-JP"/>
        </w:rPr>
        <w:t>the following material for inclusion in the draft CPM text on Topic F</w:t>
      </w:r>
      <w:r w:rsidR="009D0C46">
        <w:rPr>
          <w:lang w:eastAsia="ja-JP"/>
        </w:rPr>
        <w:t>, as attached</w:t>
      </w:r>
      <w:r w:rsidRPr="00724F80">
        <w:rPr>
          <w:lang w:eastAsia="ja-JP"/>
        </w:rPr>
        <w:t>.</w:t>
      </w:r>
    </w:p>
    <w:p w14:paraId="164E8B43" w14:textId="77777777" w:rsidR="000F4236" w:rsidRPr="00724F80" w:rsidRDefault="000F4236" w:rsidP="00CD78C9">
      <w:pPr>
        <w:pStyle w:val="Normalaftertitle"/>
        <w:spacing w:before="840"/>
        <w:rPr>
          <w:lang w:eastAsia="zh-CN"/>
        </w:rPr>
      </w:pPr>
    </w:p>
    <w:p w14:paraId="5E415551" w14:textId="77777777" w:rsidR="000F4236" w:rsidRPr="00724F80" w:rsidRDefault="000F4236" w:rsidP="007A4CE1">
      <w:pPr>
        <w:jc w:val="both"/>
        <w:rPr>
          <w:lang w:eastAsia="ja-JP"/>
        </w:rPr>
      </w:pPr>
    </w:p>
    <w:p w14:paraId="0B72E550" w14:textId="77777777" w:rsidR="000F4236" w:rsidRPr="00064DE8" w:rsidRDefault="000F4236" w:rsidP="007A4CE1">
      <w:pPr>
        <w:jc w:val="both"/>
        <w:rPr>
          <w:lang w:eastAsia="ja-JP"/>
        </w:rPr>
      </w:pPr>
      <w:r>
        <w:rPr>
          <w:b/>
          <w:bCs/>
          <w:lang w:eastAsia="ja-JP"/>
        </w:rPr>
        <w:t>Attachment:</w:t>
      </w:r>
      <w:r>
        <w:rPr>
          <w:b/>
          <w:bCs/>
          <w:lang w:eastAsia="ja-JP"/>
        </w:rPr>
        <w:tab/>
      </w:r>
      <w:r>
        <w:rPr>
          <w:lang w:eastAsia="ja-JP"/>
        </w:rPr>
        <w:t>1</w:t>
      </w:r>
    </w:p>
    <w:p w14:paraId="51D3DC38" w14:textId="77777777" w:rsidR="000F4236" w:rsidRPr="00724F80" w:rsidRDefault="000F4236" w:rsidP="00B77B73">
      <w:pPr>
        <w:pStyle w:val="Agendaitem"/>
      </w:pPr>
    </w:p>
    <w:p w14:paraId="47B425FD" w14:textId="77777777" w:rsidR="000F4236" w:rsidRPr="00724F80" w:rsidRDefault="000F4236">
      <w:pPr>
        <w:tabs>
          <w:tab w:val="clear" w:pos="1134"/>
          <w:tab w:val="clear" w:pos="1871"/>
          <w:tab w:val="clear" w:pos="2268"/>
        </w:tabs>
        <w:overflowPunct/>
        <w:autoSpaceDE/>
        <w:autoSpaceDN/>
        <w:adjustRightInd/>
        <w:spacing w:before="0"/>
        <w:textAlignment w:val="auto"/>
        <w:rPr>
          <w:sz w:val="28"/>
        </w:rPr>
      </w:pPr>
      <w:r w:rsidRPr="00724F80">
        <w:br w:type="page"/>
      </w:r>
    </w:p>
    <w:p w14:paraId="652225FD" w14:textId="77777777" w:rsidR="000F4236" w:rsidRPr="00724F80" w:rsidRDefault="000F4236" w:rsidP="00CD78C9">
      <w:pPr>
        <w:pStyle w:val="AnnexNo"/>
        <w:rPr>
          <w:lang w:eastAsia="zh-CN"/>
        </w:rPr>
      </w:pPr>
      <w:r w:rsidRPr="00724F80">
        <w:rPr>
          <w:lang w:eastAsia="zh-CN"/>
        </w:rPr>
        <w:lastRenderedPageBreak/>
        <w:t>ATTACHMENT</w:t>
      </w:r>
    </w:p>
    <w:p w14:paraId="6A1834E6" w14:textId="77777777" w:rsidR="000F4236" w:rsidRPr="009477F6" w:rsidRDefault="000F4236" w:rsidP="003D6EC0">
      <w:pPr>
        <w:pStyle w:val="ChapNo"/>
      </w:pPr>
      <w:r w:rsidRPr="009477F6">
        <w:t xml:space="preserve">CHAPTER </w:t>
      </w:r>
      <w:r>
        <w:t>4</w:t>
      </w:r>
    </w:p>
    <w:p w14:paraId="3DB23B2A" w14:textId="77777777" w:rsidR="000F4236" w:rsidRPr="003D6EC0" w:rsidRDefault="000F4236" w:rsidP="003D6EC0">
      <w:pPr>
        <w:pStyle w:val="Chaptitle"/>
      </w:pPr>
      <w:r w:rsidRPr="003D6EC0">
        <w:t>Satellite issues</w:t>
      </w:r>
    </w:p>
    <w:p w14:paraId="79948B67" w14:textId="77777777" w:rsidR="000F4236" w:rsidRPr="009477F6" w:rsidRDefault="000F4236" w:rsidP="003D6EC0">
      <w:pPr>
        <w:spacing w:before="0"/>
        <w:jc w:val="center"/>
      </w:pPr>
      <w:r w:rsidRPr="009477F6">
        <w:t xml:space="preserve">(Agenda items </w:t>
      </w:r>
      <w:r w:rsidRPr="00457645">
        <w:rPr>
          <w:lang w:val="en-US"/>
        </w:rPr>
        <w:t>1.15, 1.16, 1.17, 1.18, 1.19, 7</w:t>
      </w:r>
      <w:r w:rsidRPr="009477F6">
        <w:t>)</w:t>
      </w:r>
    </w:p>
    <w:p w14:paraId="52B4E3C1" w14:textId="77777777" w:rsidR="000F4236" w:rsidRPr="00724F80" w:rsidRDefault="000F4236" w:rsidP="00B77B73">
      <w:pPr>
        <w:pStyle w:val="Agendaitem"/>
      </w:pPr>
      <w:r w:rsidRPr="00724F80">
        <w:t>Agenda item 7</w:t>
      </w:r>
    </w:p>
    <w:p w14:paraId="00924E57" w14:textId="77777777" w:rsidR="000F4236" w:rsidRPr="00724F80" w:rsidRDefault="000F4236" w:rsidP="00B77B73">
      <w:pPr>
        <w:jc w:val="center"/>
        <w:rPr>
          <w:b/>
          <w:bCs/>
        </w:rPr>
      </w:pPr>
      <w:r w:rsidRPr="00724F80">
        <w:rPr>
          <w:b/>
          <w:bCs/>
        </w:rPr>
        <w:t>(WP 4A / -)</w:t>
      </w:r>
    </w:p>
    <w:p w14:paraId="07D41050" w14:textId="77777777" w:rsidR="000F4236" w:rsidRPr="00724F80" w:rsidRDefault="000F4236" w:rsidP="003D6EC0">
      <w:pPr>
        <w:pStyle w:val="Normalaftertitle"/>
        <w:spacing w:before="120"/>
        <w:jc w:val="both"/>
        <w:rPr>
          <w:b/>
          <w:i/>
          <w:iCs/>
        </w:rPr>
      </w:pPr>
      <w:r w:rsidRPr="00724F80">
        <w:rPr>
          <w:i/>
          <w:iCs/>
        </w:rPr>
        <w:t>7</w:t>
      </w:r>
      <w:r w:rsidRPr="00724F80">
        <w:rPr>
          <w:i/>
          <w:iCs/>
        </w:rPr>
        <w:tab/>
        <w:t xml:space="preserve">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724F80">
        <w:rPr>
          <w:b/>
          <w:bCs/>
          <w:i/>
          <w:iCs/>
        </w:rPr>
        <w:t>86 (Rev.WRC-07)</w:t>
      </w:r>
      <w:r w:rsidRPr="00724F80">
        <w:rPr>
          <w:i/>
          <w:iCs/>
        </w:rPr>
        <w:t>, in order to facilitate the rational, efficient and economical use of radio frequencies and any associated orbits, including the geostationary-satellite orbit;</w:t>
      </w:r>
    </w:p>
    <w:p w14:paraId="6D828316" w14:textId="77777777" w:rsidR="000F4236" w:rsidRPr="00724F80" w:rsidRDefault="000F4236" w:rsidP="00B56F29">
      <w:pPr>
        <w:jc w:val="both"/>
        <w:rPr>
          <w:rFonts w:eastAsia="SimSun"/>
          <w:i/>
          <w:iCs/>
        </w:rPr>
      </w:pPr>
      <w:r w:rsidRPr="00724F80">
        <w:t xml:space="preserve">Resolution </w:t>
      </w:r>
      <w:r w:rsidRPr="00724F80">
        <w:rPr>
          <w:b/>
          <w:bCs/>
        </w:rPr>
        <w:t>86 (Rev.WRC-07)</w:t>
      </w:r>
      <w:r w:rsidRPr="00724F80">
        <w:t xml:space="preserve"> – </w:t>
      </w:r>
      <w:r w:rsidRPr="00724F80">
        <w:rPr>
          <w:rFonts w:eastAsia="SimSun"/>
          <w:i/>
          <w:iCs/>
        </w:rPr>
        <w:t>Implementation of Resolution 86 (Rev. Marrakesh, 2002) of the Plenipotentiary Conference</w:t>
      </w:r>
    </w:p>
    <w:p w14:paraId="42EBC6E9" w14:textId="77777777" w:rsidR="000F4236" w:rsidRPr="00724F80" w:rsidRDefault="000F4236" w:rsidP="00B56F29">
      <w:pPr>
        <w:pStyle w:val="Heading1"/>
        <w:ind w:left="1871" w:hanging="1871"/>
      </w:pPr>
      <w:r w:rsidRPr="00724F80">
        <w:t>4/7/6</w:t>
      </w:r>
      <w:r w:rsidRPr="00724F80">
        <w:tab/>
      </w:r>
      <w:bookmarkStart w:id="10" w:name="_Hlk50048045"/>
      <w:r>
        <w:tab/>
      </w:r>
      <w:r w:rsidRPr="00724F80">
        <w:t>Topic</w:t>
      </w:r>
      <w:bookmarkEnd w:id="10"/>
      <w:r w:rsidRPr="00724F80">
        <w:t xml:space="preserve"> F –</w:t>
      </w:r>
      <w:r>
        <w:t xml:space="preserve"> E</w:t>
      </w:r>
      <w:r w:rsidRPr="00724F80">
        <w:t>xclu</w:t>
      </w:r>
      <w:r>
        <w:t>sion of</w:t>
      </w:r>
      <w:r w:rsidRPr="00724F80">
        <w:t xml:space="preserve"> service and coverage areas </w:t>
      </w:r>
      <w:r>
        <w:t xml:space="preserve">for </w:t>
      </w:r>
      <w:r w:rsidRPr="00724F80">
        <w:t>feeder-link</w:t>
      </w:r>
      <w:r>
        <w:t>s</w:t>
      </w:r>
      <w:r w:rsidRPr="00724F80">
        <w:t>/</w:t>
      </w:r>
      <w:r>
        <w:t>u</w:t>
      </w:r>
      <w:r w:rsidRPr="00724F80">
        <w:t>plink</w:t>
      </w:r>
      <w:r>
        <w:t>s</w:t>
      </w:r>
      <w:r w:rsidRPr="00724F80">
        <w:t xml:space="preserve"> in the bands subject to RR Appendix 30A and RR Appendix 30B </w:t>
      </w:r>
    </w:p>
    <w:p w14:paraId="6A3AA7B1" w14:textId="77777777" w:rsidR="000F4236" w:rsidRPr="00724F80" w:rsidRDefault="000F4236" w:rsidP="00170DC5">
      <w:pPr>
        <w:pStyle w:val="Heading2"/>
      </w:pPr>
      <w:r w:rsidRPr="00724F80">
        <w:t>4/7/6.1</w:t>
      </w:r>
      <w:r w:rsidRPr="00724F80">
        <w:tab/>
      </w:r>
      <w:r>
        <w:tab/>
      </w:r>
      <w:r w:rsidRPr="00724F80">
        <w:t>Executive summary</w:t>
      </w:r>
    </w:p>
    <w:p w14:paraId="67402357" w14:textId="77777777" w:rsidR="000F4236" w:rsidRDefault="000F4236" w:rsidP="00B56F29">
      <w:pPr>
        <w:jc w:val="both"/>
      </w:pPr>
      <w:r w:rsidRPr="00724F80">
        <w:t xml:space="preserve">For the </w:t>
      </w:r>
      <w:r>
        <w:t>Earth-to-space direction</w:t>
      </w:r>
      <w:r w:rsidRPr="00724F80">
        <w:t xml:space="preserve">, provisions </w:t>
      </w:r>
      <w:r>
        <w:t xml:space="preserve">such as </w:t>
      </w:r>
      <w:r w:rsidRPr="00724F80">
        <w:t xml:space="preserve">RR No. </w:t>
      </w:r>
      <w:r w:rsidRPr="00B56F29">
        <w:rPr>
          <w:b/>
          <w:bCs/>
        </w:rPr>
        <w:t>23.13</w:t>
      </w:r>
      <w:r w:rsidRPr="00724F80">
        <w:t xml:space="preserve"> </w:t>
      </w:r>
      <w:r w:rsidRPr="00724F80">
        <w:rPr>
          <w:lang w:eastAsia="ja-JP"/>
        </w:rPr>
        <w:t xml:space="preserve">and § 6.16 of Article 6 of Appendix </w:t>
      </w:r>
      <w:r w:rsidRPr="00B56F29">
        <w:rPr>
          <w:b/>
          <w:bCs/>
          <w:lang w:eastAsia="ja-JP"/>
        </w:rPr>
        <w:t>30B</w:t>
      </w:r>
      <w:r w:rsidRPr="00724F80">
        <w:rPr>
          <w:lang w:eastAsia="ja-JP"/>
        </w:rPr>
        <w:t>)</w:t>
      </w:r>
      <w:r w:rsidRPr="00724F80">
        <w:t xml:space="preserve"> facilitate an Administration to coordinate the downlink. </w:t>
      </w:r>
      <w:r>
        <w:t xml:space="preserve">These provisions do not provide a method </w:t>
      </w:r>
      <w:r w:rsidRPr="00724F80">
        <w:t>for the feeder-link</w:t>
      </w:r>
      <w:r>
        <w:t xml:space="preserve"> (AP</w:t>
      </w:r>
      <w:r w:rsidRPr="00B23B25">
        <w:rPr>
          <w:b/>
          <w:bCs/>
        </w:rPr>
        <w:t>30A</w:t>
      </w:r>
      <w:r>
        <w:t xml:space="preserve">) or </w:t>
      </w:r>
      <w:r w:rsidRPr="00724F80">
        <w:t>uplink</w:t>
      </w:r>
      <w:r>
        <w:t xml:space="preserve"> (AP</w:t>
      </w:r>
      <w:r w:rsidRPr="00B23B25">
        <w:rPr>
          <w:color w:val="000000" w:themeColor="text1"/>
        </w:rPr>
        <w:t>30B</w:t>
      </w:r>
      <w:r>
        <w:t>), as noted in</w:t>
      </w:r>
      <w:r w:rsidRPr="00AD50CC">
        <w:rPr>
          <w:rFonts w:eastAsia="MS Mincho"/>
          <w:szCs w:val="24"/>
          <w:lang w:eastAsia="zh-CN"/>
        </w:rPr>
        <w:t xml:space="preserve"> Resolution </w:t>
      </w:r>
      <w:r w:rsidRPr="00772501">
        <w:rPr>
          <w:rFonts w:eastAsia="MS Mincho"/>
          <w:b/>
          <w:bCs/>
          <w:szCs w:val="24"/>
          <w:lang w:eastAsia="zh-CN"/>
        </w:rPr>
        <w:t>170 (WRC-19)</w:t>
      </w:r>
      <w:r w:rsidRPr="00724F80">
        <w:t>.</w:t>
      </w:r>
    </w:p>
    <w:p w14:paraId="2298ABFB" w14:textId="77777777" w:rsidR="000F4236" w:rsidRPr="00724F80" w:rsidRDefault="000F4236" w:rsidP="00B56F29">
      <w:pPr>
        <w:jc w:val="both"/>
        <w:rPr>
          <w:b/>
        </w:rPr>
      </w:pPr>
      <w:r>
        <w:t>This may be corrected by:</w:t>
      </w:r>
    </w:p>
    <w:p w14:paraId="560A7AD3" w14:textId="77777777" w:rsidR="000F4236" w:rsidRPr="00724F80" w:rsidRDefault="000F4236" w:rsidP="00B56F29">
      <w:pPr>
        <w:pStyle w:val="enumlev1"/>
        <w:jc w:val="both"/>
        <w:rPr>
          <w:b/>
        </w:rPr>
      </w:pPr>
      <w:r w:rsidRPr="00724F80">
        <w:t>–</w:t>
      </w:r>
      <w:r w:rsidRPr="00724F80">
        <w:tab/>
      </w:r>
      <w:r>
        <w:t xml:space="preserve">Adding </w:t>
      </w:r>
      <w:r w:rsidRPr="00724F80">
        <w:t>provision</w:t>
      </w:r>
      <w:r>
        <w:t>s</w:t>
      </w:r>
      <w:r w:rsidRPr="00724F80">
        <w:t xml:space="preserve"> </w:t>
      </w:r>
      <w:r>
        <w:t xml:space="preserve">to </w:t>
      </w:r>
      <w:r w:rsidRPr="00724F80">
        <w:t xml:space="preserve">RR Appendix </w:t>
      </w:r>
      <w:r w:rsidRPr="00B56F29">
        <w:rPr>
          <w:b/>
          <w:bCs/>
        </w:rPr>
        <w:t>30A</w:t>
      </w:r>
      <w:r w:rsidRPr="00724F80">
        <w:t xml:space="preserve"> </w:t>
      </w:r>
      <w:r>
        <w:t xml:space="preserve">and </w:t>
      </w:r>
      <w:r w:rsidRPr="00E60542">
        <w:rPr>
          <w:b/>
          <w:bCs/>
        </w:rPr>
        <w:t>30B</w:t>
      </w:r>
      <w:r>
        <w:t xml:space="preserve"> to </w:t>
      </w:r>
      <w:r w:rsidRPr="00724F80">
        <w:t xml:space="preserve">allow an Administration to request the exclusion of its national territory from the </w:t>
      </w:r>
      <w:r>
        <w:t xml:space="preserve">(Earth-to-space) </w:t>
      </w:r>
      <w:r w:rsidRPr="00724F80">
        <w:t xml:space="preserve">service area of </w:t>
      </w:r>
      <w:r>
        <w:t xml:space="preserve">a </w:t>
      </w:r>
      <w:r w:rsidRPr="00724F80">
        <w:t>satellite network</w:t>
      </w:r>
      <w:r>
        <w:t>(</w:t>
      </w:r>
      <w:r w:rsidRPr="00724F80">
        <w:t>s</w:t>
      </w:r>
      <w:r>
        <w:t>)</w:t>
      </w:r>
      <w:r w:rsidRPr="00724F80">
        <w:t xml:space="preserve"> of </w:t>
      </w:r>
      <w:r>
        <w:t>an</w:t>
      </w:r>
      <w:r w:rsidRPr="00724F80">
        <w:t>other Administration</w:t>
      </w:r>
      <w:r>
        <w:t>, and;</w:t>
      </w:r>
    </w:p>
    <w:p w14:paraId="6B16C4CB" w14:textId="77777777" w:rsidR="000F4236" w:rsidRPr="00724F80" w:rsidRDefault="000F4236" w:rsidP="00B56F29">
      <w:pPr>
        <w:pStyle w:val="enumlev1"/>
        <w:jc w:val="both"/>
        <w:rPr>
          <w:b/>
        </w:rPr>
      </w:pPr>
      <w:r w:rsidRPr="00724F80">
        <w:t>–</w:t>
      </w:r>
      <w:r w:rsidRPr="00724F80">
        <w:tab/>
        <w:t>Requir</w:t>
      </w:r>
      <w:r>
        <w:t>ing</w:t>
      </w:r>
      <w:r w:rsidRPr="00724F80">
        <w:t xml:space="preserve"> the notifying Administration of </w:t>
      </w:r>
      <w:r>
        <w:t xml:space="preserve">a </w:t>
      </w:r>
      <w:r w:rsidRPr="00724F80">
        <w:t xml:space="preserve">satellite </w:t>
      </w:r>
      <w:r>
        <w:t xml:space="preserve">“List” system </w:t>
      </w:r>
      <w:r w:rsidRPr="00724F80">
        <w:t xml:space="preserve">in both RR Appendix </w:t>
      </w:r>
      <w:r w:rsidRPr="00B56F29">
        <w:rPr>
          <w:b/>
          <w:bCs/>
        </w:rPr>
        <w:t>30A</w:t>
      </w:r>
      <w:r w:rsidRPr="00724F80">
        <w:t xml:space="preserve"> and Appendix</w:t>
      </w:r>
      <w:r>
        <w:t> </w:t>
      </w:r>
      <w:r w:rsidRPr="00B56F29">
        <w:rPr>
          <w:b/>
          <w:bCs/>
        </w:rPr>
        <w:t>30B</w:t>
      </w:r>
      <w:r w:rsidRPr="00724F80">
        <w:t xml:space="preserve"> to shape the coverage of </w:t>
      </w:r>
      <w:r>
        <w:t xml:space="preserve">its </w:t>
      </w:r>
      <w:r w:rsidRPr="00724F80">
        <w:t xml:space="preserve">satellite receiving antenna </w:t>
      </w:r>
      <w:r>
        <w:t xml:space="preserve">to minimise gain towards Administrations outside </w:t>
      </w:r>
      <w:r w:rsidRPr="00724F80">
        <w:t>its service area</w:t>
      </w:r>
      <w:r>
        <w:t>; further, remove any protection for such a system from harmful interference caused by existing or future satellite systems</w:t>
      </w:r>
      <w:r w:rsidRPr="00724F80">
        <w:t xml:space="preserve"> </w:t>
      </w:r>
      <w:r>
        <w:t>within those areas.</w:t>
      </w:r>
    </w:p>
    <w:p w14:paraId="63889F46" w14:textId="3E523A70" w:rsidR="000F4236" w:rsidRPr="00724F80" w:rsidRDefault="000F4236" w:rsidP="00F22FD3">
      <w:pPr>
        <w:pStyle w:val="Heading2"/>
      </w:pPr>
      <w:r w:rsidRPr="00724F80">
        <w:t>4/7/6.2</w:t>
      </w:r>
      <w:r w:rsidRPr="00724F80">
        <w:tab/>
      </w:r>
      <w:r w:rsidR="00B23B25">
        <w:tab/>
      </w:r>
      <w:r w:rsidRPr="00724F80">
        <w:t>Background</w:t>
      </w:r>
    </w:p>
    <w:p w14:paraId="0B532044" w14:textId="77777777" w:rsidR="000F4236" w:rsidRPr="00724F80" w:rsidRDefault="000F4236" w:rsidP="009125DD">
      <w:pPr>
        <w:jc w:val="both"/>
        <w:rPr>
          <w:lang w:eastAsia="ja-JP"/>
        </w:rPr>
      </w:pPr>
      <w:r w:rsidRPr="00724F80">
        <w:rPr>
          <w:lang w:eastAsia="ja-JP"/>
        </w:rPr>
        <w:t xml:space="preserve">The planned space services are for the principle of equitable access to the satellite orbit/frequency spectrum in accordance with Article 44 of the ITU Constitution. To this end, relevant provisions of RR Appendix </w:t>
      </w:r>
      <w:r w:rsidRPr="00724F80">
        <w:rPr>
          <w:b/>
          <w:bCs/>
          <w:lang w:eastAsia="ja-JP"/>
        </w:rPr>
        <w:t>30/30A</w:t>
      </w:r>
      <w:r w:rsidRPr="00724F80">
        <w:rPr>
          <w:lang w:eastAsia="ja-JP"/>
        </w:rPr>
        <w:t xml:space="preserve"> and Appendix </w:t>
      </w:r>
      <w:r w:rsidRPr="00724F80">
        <w:rPr>
          <w:b/>
          <w:bCs/>
          <w:lang w:eastAsia="ja-JP"/>
        </w:rPr>
        <w:t>30B</w:t>
      </w:r>
      <w:r w:rsidRPr="00724F80">
        <w:rPr>
          <w:lang w:eastAsia="ja-JP"/>
        </w:rPr>
        <w:t xml:space="preserve"> specifically aim at ensuring this principle.</w:t>
      </w:r>
    </w:p>
    <w:p w14:paraId="0F099065" w14:textId="77777777" w:rsidR="000F4236" w:rsidRPr="00724F80" w:rsidRDefault="000F4236" w:rsidP="009125DD">
      <w:pPr>
        <w:jc w:val="both"/>
        <w:rPr>
          <w:lang w:eastAsia="ja-JP"/>
        </w:rPr>
      </w:pPr>
      <w:r w:rsidRPr="00724F80">
        <w:rPr>
          <w:lang w:eastAsia="ja-JP"/>
        </w:rPr>
        <w:t xml:space="preserve">Provision 3.4 of Article 3 of RR Appendix </w:t>
      </w:r>
      <w:r w:rsidRPr="00724F80">
        <w:rPr>
          <w:b/>
          <w:bCs/>
          <w:lang w:eastAsia="ja-JP"/>
        </w:rPr>
        <w:t>30A</w:t>
      </w:r>
      <w:r w:rsidRPr="00724F80">
        <w:rPr>
          <w:lang w:eastAsia="ja-JP"/>
        </w:rPr>
        <w:t xml:space="preserve"> stipulates that: “The Regions 1 and 3 feeder-link Plan is based on national coverage from the geostationary-satellite orbit. The associated procedures contained in this Appendix are intended to promote long-term flexibility of the Plan and </w:t>
      </w:r>
      <w:r w:rsidRPr="00724F80">
        <w:rPr>
          <w:b/>
          <w:bCs/>
          <w:i/>
          <w:iCs/>
          <w:lang w:eastAsia="ja-JP"/>
        </w:rPr>
        <w:t>to avoid monopolization of the planned bands and orbit by a country or a group of countries</w:t>
      </w:r>
      <w:r w:rsidRPr="00724F80">
        <w:rPr>
          <w:lang w:eastAsia="ja-JP"/>
        </w:rPr>
        <w:t>”.</w:t>
      </w:r>
    </w:p>
    <w:p w14:paraId="7CF5354D" w14:textId="77777777" w:rsidR="000F4236" w:rsidRPr="00724F80" w:rsidRDefault="000F4236" w:rsidP="009125DD">
      <w:pPr>
        <w:jc w:val="both"/>
        <w:rPr>
          <w:lang w:eastAsia="ja-JP"/>
        </w:rPr>
      </w:pPr>
      <w:r w:rsidRPr="00724F80">
        <w:rPr>
          <w:lang w:eastAsia="ja-JP"/>
        </w:rPr>
        <w:lastRenderedPageBreak/>
        <w:t>Provision 2.6</w:t>
      </w:r>
      <w:r w:rsidRPr="009125DD">
        <w:rPr>
          <w:i/>
          <w:iCs/>
          <w:lang w:eastAsia="ja-JP"/>
        </w:rPr>
        <w:t>bis</w:t>
      </w:r>
      <w:r w:rsidRPr="00724F80">
        <w:rPr>
          <w:lang w:eastAsia="ja-JP"/>
        </w:rPr>
        <w:t xml:space="preserve"> of RR Appendix </w:t>
      </w:r>
      <w:r w:rsidRPr="00724F80">
        <w:rPr>
          <w:b/>
          <w:bCs/>
          <w:lang w:eastAsia="ja-JP"/>
        </w:rPr>
        <w:t>30B</w:t>
      </w:r>
      <w:r w:rsidRPr="00724F80">
        <w:rPr>
          <w:lang w:eastAsia="ja-JP"/>
        </w:rPr>
        <w:t xml:space="preserve"> stipulates that: “When submitting additional system(s), administrations shall fully comply with the requirements stipulated in Article 44 of the ITU Constitution. In particular, these administrations shall limit the number of orbital positions and associated spectrum so that:</w:t>
      </w:r>
    </w:p>
    <w:p w14:paraId="660AB72B" w14:textId="77777777" w:rsidR="000F4236" w:rsidRPr="00724F80" w:rsidRDefault="000F4236" w:rsidP="009125DD">
      <w:pPr>
        <w:pStyle w:val="enumlev1"/>
        <w:rPr>
          <w:lang w:eastAsia="ja-JP"/>
        </w:rPr>
      </w:pPr>
      <w:r w:rsidRPr="00724F80">
        <w:rPr>
          <w:lang w:eastAsia="ja-JP"/>
        </w:rPr>
        <w:t>a)</w:t>
      </w:r>
      <w:r w:rsidRPr="00724F80">
        <w:rPr>
          <w:lang w:eastAsia="ja-JP"/>
        </w:rPr>
        <w:tab/>
        <w:t>the orbital/spectrum natural resources are used rationally, efficiently and economically;</w:t>
      </w:r>
      <w:r>
        <w:rPr>
          <w:lang w:eastAsia="ja-JP"/>
        </w:rPr>
        <w:t xml:space="preserve"> </w:t>
      </w:r>
      <w:r w:rsidRPr="00724F80">
        <w:rPr>
          <w:lang w:eastAsia="ja-JP"/>
        </w:rPr>
        <w:t>and</w:t>
      </w:r>
    </w:p>
    <w:p w14:paraId="4421D18D" w14:textId="77777777" w:rsidR="000F4236" w:rsidRPr="00724F80" w:rsidRDefault="000F4236" w:rsidP="009125DD">
      <w:pPr>
        <w:pStyle w:val="enumlev1"/>
        <w:rPr>
          <w:lang w:eastAsia="ja-JP"/>
        </w:rPr>
      </w:pPr>
      <w:r w:rsidRPr="00724F80">
        <w:rPr>
          <w:lang w:eastAsia="ja-JP"/>
        </w:rPr>
        <w:t>b)</w:t>
      </w:r>
      <w:r w:rsidRPr="00724F80">
        <w:rPr>
          <w:lang w:eastAsia="ja-JP"/>
        </w:rPr>
        <w:tab/>
      </w:r>
      <w:r w:rsidRPr="00724F80">
        <w:rPr>
          <w:b/>
          <w:bCs/>
          <w:i/>
          <w:iCs/>
          <w:lang w:eastAsia="ja-JP"/>
        </w:rPr>
        <w:t>the use of multiple orbital locations to cover the same service area is avoided</w:t>
      </w:r>
      <w:r w:rsidRPr="00724F80">
        <w:rPr>
          <w:lang w:eastAsia="ja-JP"/>
        </w:rPr>
        <w:t>.</w:t>
      </w:r>
      <w:r w:rsidRPr="009125DD">
        <w:rPr>
          <w:sz w:val="16"/>
          <w:szCs w:val="16"/>
          <w:lang w:eastAsia="ja-JP"/>
        </w:rPr>
        <w:t>       (WRC</w:t>
      </w:r>
      <w:r w:rsidRPr="009125DD">
        <w:rPr>
          <w:sz w:val="16"/>
          <w:szCs w:val="16"/>
          <w:lang w:eastAsia="ja-JP"/>
        </w:rPr>
        <w:noBreakHyphen/>
        <w:t>07)</w:t>
      </w:r>
      <w:r w:rsidRPr="00724F80">
        <w:rPr>
          <w:lang w:eastAsia="ja-JP"/>
        </w:rPr>
        <w:t>”.</w:t>
      </w:r>
    </w:p>
    <w:p w14:paraId="6070DB66" w14:textId="77777777" w:rsidR="000F4236" w:rsidRPr="00724F80" w:rsidRDefault="000F4236" w:rsidP="009125DD">
      <w:pPr>
        <w:jc w:val="both"/>
        <w:rPr>
          <w:lang w:eastAsia="ja-JP"/>
        </w:rPr>
      </w:pPr>
      <w:r w:rsidRPr="00724F80">
        <w:rPr>
          <w:lang w:eastAsia="ja-JP"/>
        </w:rPr>
        <w:t>In spite of the purpose of the planned space services together with their associated procedures, submissions of global uplink coverage area or the coverage area extended well beyond the service area which poses a real obstacle for an administration or a group of named administrations to deploy its national system or their sub-regional systems, as appropriate.</w:t>
      </w:r>
    </w:p>
    <w:p w14:paraId="649DB557" w14:textId="73989DAC" w:rsidR="000F4236" w:rsidRPr="00724F80" w:rsidRDefault="000F4236" w:rsidP="00170DC5">
      <w:pPr>
        <w:pStyle w:val="Heading2"/>
      </w:pPr>
      <w:r w:rsidRPr="00724F80">
        <w:t>4/7/6.3</w:t>
      </w:r>
      <w:r w:rsidRPr="00724F80">
        <w:tab/>
      </w:r>
      <w:r w:rsidR="00B23B25">
        <w:tab/>
      </w:r>
      <w:r w:rsidRPr="00724F80">
        <w:t>Summary and analysis of the results of ITU-R studies</w:t>
      </w:r>
    </w:p>
    <w:p w14:paraId="1142A9EB" w14:textId="77777777" w:rsidR="000F4236" w:rsidRPr="00724F80" w:rsidRDefault="000F4236" w:rsidP="00170DC5">
      <w:pPr>
        <w:jc w:val="both"/>
      </w:pPr>
      <w:r w:rsidRPr="00724F80">
        <w:t xml:space="preserve">In case an administration or a group of named administrations (new comer) wish to implement a satellite network with a service area limited to its or their territories, as appropriate, </w:t>
      </w:r>
      <w:r>
        <w:t xml:space="preserve">RR </w:t>
      </w:r>
      <w:r w:rsidRPr="00724F80">
        <w:t xml:space="preserve">No. </w:t>
      </w:r>
      <w:r w:rsidRPr="009125DD">
        <w:rPr>
          <w:b/>
          <w:bCs/>
        </w:rPr>
        <w:t>23.13</w:t>
      </w:r>
      <w:r w:rsidRPr="00724F80">
        <w:t xml:space="preserve"> of the Radio Regulations and § 6.16 of Article 6 of </w:t>
      </w:r>
      <w:r>
        <w:t xml:space="preserve">RR </w:t>
      </w:r>
      <w:r w:rsidRPr="00724F80">
        <w:t xml:space="preserve">Appendix </w:t>
      </w:r>
      <w:r w:rsidRPr="009125DD">
        <w:rPr>
          <w:b/>
          <w:bCs/>
        </w:rPr>
        <w:t>30B</w:t>
      </w:r>
      <w:r w:rsidRPr="00724F80">
        <w:t xml:space="preserve"> provide these Administrations with an effective measure to coordinate in the down-link because its territory or their national territories are excluded from the service area of the interfered-with network (existing). With regard to the downlink service area of the interfered-with network situated outside the excluded territories of notifying Administration(s), shaped beam technology could be applied to meet the protection criteria with respect to the interfered-with network (existing). The shaped beam is to be applicable to the satellite network of those notifying Administrations and is thus independent of the Administration of the interfered-with satellite network (existing).</w:t>
      </w:r>
    </w:p>
    <w:p w14:paraId="457D51A5" w14:textId="77777777" w:rsidR="000F4236" w:rsidRPr="00724F80" w:rsidRDefault="000F4236" w:rsidP="00170DC5">
      <w:pPr>
        <w:jc w:val="both"/>
      </w:pPr>
      <w:r w:rsidRPr="00724F80">
        <w:t>With regard to the up-link, the interference is normally calculated at the output of receiving satellite antenna of an interfered-with satellite network. It is therefore dependent on the satellite receiving antenna coverage of the interfered-with satellite and the location of interfering earth stations of the other satellite network. More specifically, the roll-off of the satellite receiving antenna of the interfered-with satellite is a determining factor because interfering earth stations cannot be placed outside the corresponding uplink service area, which is limited to the national territories of an Administration or a group of named Administrations.</w:t>
      </w:r>
    </w:p>
    <w:p w14:paraId="73B20666" w14:textId="77777777" w:rsidR="000F4236" w:rsidRPr="00724F80" w:rsidRDefault="000F4236" w:rsidP="00170DC5">
      <w:pPr>
        <w:jc w:val="both"/>
        <w:rPr>
          <w:lang w:eastAsia="ja-JP"/>
        </w:rPr>
      </w:pPr>
      <w:r w:rsidRPr="00724F80">
        <w:rPr>
          <w:lang w:eastAsia="ja-JP"/>
        </w:rPr>
        <w:t>There is a definition for the BSS downlink in</w:t>
      </w:r>
      <w:bookmarkStart w:id="11" w:name="_Hlk81145411"/>
      <w:r w:rsidRPr="00724F80">
        <w:rPr>
          <w:lang w:eastAsia="ja-JP"/>
        </w:rPr>
        <w:t xml:space="preserve"> </w:t>
      </w:r>
      <w:r w:rsidRPr="00724F80">
        <w:t xml:space="preserve">§ 1.2 of Annex 5 of </w:t>
      </w:r>
      <w:r>
        <w:t xml:space="preserve">RR </w:t>
      </w:r>
      <w:r w:rsidRPr="00724F80">
        <w:t xml:space="preserve">Appendix </w:t>
      </w:r>
      <w:r w:rsidRPr="004F6631">
        <w:rPr>
          <w:b/>
          <w:bCs/>
        </w:rPr>
        <w:t>30</w:t>
      </w:r>
      <w:bookmarkEnd w:id="11"/>
      <w:r w:rsidRPr="00724F80">
        <w:t xml:space="preserve">. Similar provision may be implemented in </w:t>
      </w:r>
      <w:r>
        <w:t xml:space="preserve">RR </w:t>
      </w:r>
      <w:r w:rsidRPr="00724F80">
        <w:t xml:space="preserve">Appendix </w:t>
      </w:r>
      <w:r w:rsidRPr="004F6631">
        <w:rPr>
          <w:b/>
          <w:bCs/>
        </w:rPr>
        <w:t>30A</w:t>
      </w:r>
      <w:r w:rsidRPr="00724F80">
        <w:t>.</w:t>
      </w:r>
    </w:p>
    <w:p w14:paraId="0FAC60A2" w14:textId="40E5B829" w:rsidR="000F4236" w:rsidRPr="00724F80" w:rsidRDefault="000F4236" w:rsidP="00170DC5">
      <w:pPr>
        <w:pStyle w:val="Heading2"/>
        <w:rPr>
          <w:lang w:eastAsia="ja-JP"/>
        </w:rPr>
      </w:pPr>
      <w:r w:rsidRPr="00724F80">
        <w:t>4/7/6.4</w:t>
      </w:r>
      <w:r w:rsidRPr="00724F80">
        <w:tab/>
      </w:r>
      <w:r w:rsidR="00B23B25">
        <w:tab/>
      </w:r>
      <w:r w:rsidRPr="00724F80">
        <w:t>Methods to satisfy Topic F</w:t>
      </w:r>
    </w:p>
    <w:p w14:paraId="6303D7C7" w14:textId="77777777" w:rsidR="000F4236" w:rsidRDefault="000F4236" w:rsidP="004F6631">
      <w:pPr>
        <w:jc w:val="both"/>
        <w:rPr>
          <w:b/>
          <w:bCs/>
        </w:rPr>
      </w:pPr>
      <w:r w:rsidRPr="00724F80">
        <w:t xml:space="preserve">Method </w:t>
      </w:r>
      <w:r>
        <w:t>[</w:t>
      </w:r>
      <w:r w:rsidRPr="00724F80">
        <w:t>F</w:t>
      </w:r>
      <w:r>
        <w:t>.1]</w:t>
      </w:r>
      <w:r w:rsidRPr="00724F80">
        <w:t xml:space="preserve">: </w:t>
      </w:r>
      <w:r>
        <w:t xml:space="preserve">In respect of Appendix </w:t>
      </w:r>
      <w:r w:rsidRPr="00F50340">
        <w:rPr>
          <w:b/>
          <w:bCs/>
        </w:rPr>
        <w:t>30A</w:t>
      </w:r>
      <w:r w:rsidRPr="00F50340">
        <w:t>:</w:t>
      </w:r>
    </w:p>
    <w:p w14:paraId="2579DE96" w14:textId="77777777" w:rsidR="000F4236" w:rsidRDefault="000F4236" w:rsidP="00F50340">
      <w:pPr>
        <w:pStyle w:val="ListParagraph"/>
        <w:numPr>
          <w:ilvl w:val="0"/>
          <w:numId w:val="1"/>
        </w:numPr>
        <w:jc w:val="both"/>
        <w:rPr>
          <w:lang w:eastAsia="ja-JP"/>
        </w:rPr>
      </w:pPr>
      <w:r>
        <w:rPr>
          <w:lang w:eastAsia="ja-JP"/>
        </w:rPr>
        <w:t>Amend Article 4 to require explicit agreement of those Administrations whose territory may be covered or affected by a proposed additional system.</w:t>
      </w:r>
    </w:p>
    <w:p w14:paraId="4F5CEC8B" w14:textId="77777777" w:rsidR="000F4236" w:rsidRDefault="000F4236" w:rsidP="00F50340">
      <w:pPr>
        <w:jc w:val="both"/>
        <w:rPr>
          <w:lang w:eastAsia="ja-JP"/>
        </w:rPr>
      </w:pPr>
      <w:r>
        <w:rPr>
          <w:lang w:eastAsia="ja-JP"/>
        </w:rPr>
        <w:t xml:space="preserve">Method [F.2]: </w:t>
      </w:r>
      <w:r>
        <w:t xml:space="preserve">In respect of Appendix </w:t>
      </w:r>
      <w:r w:rsidRPr="00F50340">
        <w:rPr>
          <w:b/>
          <w:bCs/>
        </w:rPr>
        <w:t>30</w:t>
      </w:r>
      <w:r>
        <w:rPr>
          <w:b/>
          <w:bCs/>
        </w:rPr>
        <w:t>B</w:t>
      </w:r>
      <w:r w:rsidRPr="00F50340">
        <w:t>:</w:t>
      </w:r>
    </w:p>
    <w:p w14:paraId="3AEB7859" w14:textId="77777777" w:rsidR="000F4236" w:rsidRPr="00724F80" w:rsidRDefault="000F4236" w:rsidP="00F50340">
      <w:pPr>
        <w:pStyle w:val="ListParagraph"/>
        <w:numPr>
          <w:ilvl w:val="0"/>
          <w:numId w:val="1"/>
        </w:numPr>
        <w:jc w:val="both"/>
        <w:rPr>
          <w:lang w:eastAsia="ja-JP"/>
        </w:rPr>
      </w:pPr>
      <w:r>
        <w:t xml:space="preserve">Amend Article 9 of Appendix </w:t>
      </w:r>
      <w:r w:rsidRPr="00F50340">
        <w:rPr>
          <w:b/>
          <w:bCs/>
        </w:rPr>
        <w:t>30</w:t>
      </w:r>
      <w:r>
        <w:rPr>
          <w:b/>
          <w:bCs/>
        </w:rPr>
        <w:t>B</w:t>
      </w:r>
      <w:r>
        <w:t xml:space="preserve"> to remove the right to claim protection from harmful interference from additional systems which have not indicated their agreement to inclusion in the given service area</w:t>
      </w:r>
      <w:r w:rsidRPr="00724F80">
        <w:t>.</w:t>
      </w:r>
    </w:p>
    <w:p w14:paraId="7674BEBA" w14:textId="47D6CD4B" w:rsidR="000F4236" w:rsidRPr="00724F80" w:rsidRDefault="000F4236" w:rsidP="002D1365">
      <w:pPr>
        <w:pStyle w:val="Methodheading2"/>
      </w:pPr>
      <w:r w:rsidRPr="00724F80">
        <w:t>4/7/6.5</w:t>
      </w:r>
      <w:r w:rsidRPr="00724F80">
        <w:tab/>
      </w:r>
      <w:r w:rsidR="00B23B25">
        <w:tab/>
      </w:r>
      <w:r w:rsidRPr="00724F80">
        <w:t>Regulatory and procedural considerations</w:t>
      </w:r>
    </w:p>
    <w:p w14:paraId="77C5E1F3" w14:textId="64874243" w:rsidR="000F4236" w:rsidRPr="00724F80" w:rsidRDefault="000F4236" w:rsidP="00C82B2A">
      <w:pPr>
        <w:pStyle w:val="Reasons"/>
      </w:pPr>
      <w:bookmarkStart w:id="12" w:name="_Hlk102139194"/>
      <w:r>
        <w:t xml:space="preserve">Method [F.1]: </w:t>
      </w:r>
      <w:r w:rsidRPr="00724F80">
        <w:t xml:space="preserve">An example of possible implementation of Method </w:t>
      </w:r>
      <w:r>
        <w:t>[</w:t>
      </w:r>
      <w:r w:rsidRPr="00724F80">
        <w:t>F</w:t>
      </w:r>
      <w:r>
        <w:t>.1]</w:t>
      </w:r>
      <w:r w:rsidRPr="00724F80">
        <w:t xml:space="preserve"> for </w:t>
      </w:r>
      <w:r w:rsidR="00A2129E">
        <w:t xml:space="preserve">RR </w:t>
      </w:r>
      <w:r w:rsidRPr="00724F80">
        <w:t>AP</w:t>
      </w:r>
      <w:r w:rsidRPr="004F6631">
        <w:rPr>
          <w:b/>
          <w:bCs/>
        </w:rPr>
        <w:t>30A</w:t>
      </w:r>
      <w:r w:rsidRPr="00724F80">
        <w:t xml:space="preserve"> is given below.</w:t>
      </w:r>
    </w:p>
    <w:bookmarkEnd w:id="12"/>
    <w:p w14:paraId="7D7A1532" w14:textId="77777777" w:rsidR="000F4236" w:rsidRPr="00F50992" w:rsidRDefault="000F4236" w:rsidP="002D1365">
      <w:pPr>
        <w:pStyle w:val="MethodHeadingb"/>
      </w:pPr>
      <w:r w:rsidRPr="002D1365">
        <w:lastRenderedPageBreak/>
        <w:t>Method</w:t>
      </w:r>
      <w:r w:rsidRPr="00F50992">
        <w:t xml:space="preserve"> </w:t>
      </w:r>
      <w:r>
        <w:t>[</w:t>
      </w:r>
      <w:r w:rsidRPr="00F50992">
        <w:t>F1</w:t>
      </w:r>
      <w:r>
        <w:t>]</w:t>
      </w:r>
    </w:p>
    <w:p w14:paraId="4F8C0AFC" w14:textId="77777777" w:rsidR="000F4236" w:rsidRPr="00724F80" w:rsidRDefault="000F4236" w:rsidP="00511846">
      <w:pPr>
        <w:pStyle w:val="AppendixNo"/>
      </w:pPr>
      <w:bookmarkStart w:id="13" w:name="_Toc42084210"/>
      <w:r w:rsidRPr="00724F80">
        <w:t xml:space="preserve">APPENDIX </w:t>
      </w:r>
      <w:r w:rsidRPr="00511846">
        <w:rPr>
          <w:rStyle w:val="href"/>
          <w:bCs/>
          <w:szCs w:val="28"/>
        </w:rPr>
        <w:t>30A</w:t>
      </w:r>
      <w:r w:rsidRPr="00724F80">
        <w:t> (REV.WRC</w:t>
      </w:r>
      <w:r w:rsidRPr="00724F80">
        <w:noBreakHyphen/>
        <w:t>19)</w:t>
      </w:r>
      <w:bookmarkStart w:id="14" w:name="_Toc330560563"/>
      <w:bookmarkStart w:id="15" w:name="_Toc42084211"/>
      <w:bookmarkEnd w:id="13"/>
      <w:r w:rsidRPr="0054302D">
        <w:rPr>
          <w:rStyle w:val="FootnoteReference"/>
        </w:rPr>
        <w:t>*</w:t>
      </w:r>
    </w:p>
    <w:p w14:paraId="4A8E4E12" w14:textId="00B8FC40" w:rsidR="000F4236" w:rsidRPr="00724F80" w:rsidRDefault="000F4236" w:rsidP="0082380B">
      <w:pPr>
        <w:keepLines/>
        <w:jc w:val="center"/>
        <w:rPr>
          <w:b/>
          <w:sz w:val="28"/>
          <w:szCs w:val="28"/>
          <w:lang w:eastAsia="ja-JP"/>
        </w:rPr>
      </w:pPr>
      <w:r w:rsidRPr="00724F80">
        <w:rPr>
          <w:b/>
          <w:sz w:val="28"/>
          <w:szCs w:val="28"/>
        </w:rPr>
        <w:t>Provisions and associated Plans and List</w:t>
      </w:r>
      <w:r w:rsidRPr="0082380B">
        <w:rPr>
          <w:rStyle w:val="FootnoteReference"/>
        </w:rPr>
        <w:t>1</w:t>
      </w:r>
      <w:r w:rsidRPr="00724F80">
        <w:rPr>
          <w:b/>
          <w:sz w:val="28"/>
          <w:szCs w:val="28"/>
        </w:rPr>
        <w:t xml:space="preserve"> for feeder links for the broadcasting-satellite service (11.7-12.5 GHz in Region 1, 12.2-12.7 GHz</w:t>
      </w:r>
      <w:r w:rsidRPr="00724F80">
        <w:rPr>
          <w:b/>
          <w:sz w:val="28"/>
          <w:szCs w:val="28"/>
        </w:rPr>
        <w:br/>
        <w:t>in Region 2 and 11.7-12.2 GHz in Region 3) in the frequency bands</w:t>
      </w:r>
      <w:r w:rsidRPr="00724F80">
        <w:rPr>
          <w:b/>
          <w:sz w:val="28"/>
          <w:szCs w:val="28"/>
        </w:rPr>
        <w:br/>
        <w:t>14.5-14.8 GHz</w:t>
      </w:r>
      <w:r w:rsidR="002D1365">
        <w:rPr>
          <w:rStyle w:val="FootnoteReference"/>
        </w:rPr>
        <w:t>2</w:t>
      </w:r>
      <w:r>
        <w:rPr>
          <w:b/>
          <w:sz w:val="28"/>
          <w:szCs w:val="28"/>
        </w:rPr>
        <w:t xml:space="preserve"> </w:t>
      </w:r>
      <w:r w:rsidRPr="00724F80">
        <w:rPr>
          <w:b/>
          <w:sz w:val="28"/>
          <w:szCs w:val="28"/>
        </w:rPr>
        <w:t>and 17.3-18.1 GHz in Regions 1 and 3,</w:t>
      </w:r>
      <w:r w:rsidRPr="00724F80">
        <w:rPr>
          <w:b/>
          <w:sz w:val="28"/>
          <w:szCs w:val="28"/>
        </w:rPr>
        <w:br/>
        <w:t>and 17.3-17.8 GHz in Region 2</w:t>
      </w:r>
      <w:bookmarkEnd w:id="14"/>
      <w:bookmarkEnd w:id="15"/>
      <w:r w:rsidRPr="00672737">
        <w:rPr>
          <w:bCs/>
          <w:sz w:val="16"/>
          <w:lang w:val="en-US"/>
        </w:rPr>
        <w:t>     (</w:t>
      </w:r>
      <w:r>
        <w:rPr>
          <w:rFonts w:asciiTheme="majorBidi" w:hAnsiTheme="majorBidi" w:cstheme="majorBidi"/>
          <w:bCs/>
          <w:sz w:val="16"/>
          <w:lang w:val="en-US"/>
        </w:rPr>
        <w:t>WRC</w:t>
      </w:r>
      <w:r>
        <w:rPr>
          <w:rFonts w:asciiTheme="majorBidi" w:hAnsiTheme="majorBidi" w:cstheme="majorBidi"/>
          <w:bCs/>
          <w:sz w:val="16"/>
          <w:lang w:val="en-US"/>
        </w:rPr>
        <w:noBreakHyphen/>
      </w:r>
      <w:r w:rsidRPr="00D92A15">
        <w:rPr>
          <w:rFonts w:asciiTheme="majorBidi" w:hAnsiTheme="majorBidi" w:cstheme="majorBidi"/>
          <w:bCs/>
          <w:sz w:val="16"/>
          <w:lang w:val="en-US"/>
        </w:rPr>
        <w:t>03)</w:t>
      </w:r>
    </w:p>
    <w:p w14:paraId="5055F14A" w14:textId="77777777" w:rsidR="000F4236" w:rsidRPr="00755316" w:rsidRDefault="000F4236" w:rsidP="0054302D">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w:t>
      </w:r>
      <w:r>
        <w:rPr>
          <w:sz w:val="16"/>
          <w:szCs w:val="16"/>
        </w:rPr>
        <w:t>9</w:t>
      </w:r>
      <w:r w:rsidRPr="00755316">
        <w:rPr>
          <w:sz w:val="16"/>
          <w:szCs w:val="16"/>
        </w:rPr>
        <w:t>)</w:t>
      </w:r>
    </w:p>
    <w:p w14:paraId="0C167B2E" w14:textId="77777777" w:rsidR="000F4236" w:rsidRPr="00755316" w:rsidRDefault="000F4236" w:rsidP="0054302D">
      <w:pPr>
        <w:pStyle w:val="AppArttitle"/>
      </w:pPr>
      <w:r w:rsidRPr="00755316">
        <w:t xml:space="preserve">Procedures for modifications to the Region 2 feeder-link Plan </w:t>
      </w:r>
      <w:r w:rsidRPr="00755316">
        <w:br/>
        <w:t>or for additional uses in Regions 1 and 3</w:t>
      </w:r>
    </w:p>
    <w:p w14:paraId="55803846" w14:textId="77777777" w:rsidR="000F4236" w:rsidRPr="00755316" w:rsidRDefault="000F4236" w:rsidP="0054302D">
      <w:pPr>
        <w:pStyle w:val="Heading2"/>
      </w:pPr>
      <w:r w:rsidRPr="00755316">
        <w:t>4.1</w:t>
      </w:r>
      <w:r w:rsidRPr="00755316">
        <w:tab/>
        <w:t>Provisions applicable to Regions 1 and 3</w:t>
      </w:r>
    </w:p>
    <w:p w14:paraId="32FBC7D9" w14:textId="77777777" w:rsidR="000F4236" w:rsidRDefault="000F4236" w:rsidP="00511846">
      <w:pPr>
        <w:pStyle w:val="Proposal"/>
        <w:rPr>
          <w:lang w:eastAsia="ja-JP"/>
        </w:rPr>
      </w:pPr>
      <w:r>
        <w:rPr>
          <w:lang w:eastAsia="ja-JP"/>
        </w:rPr>
        <w:t>MOD</w:t>
      </w:r>
    </w:p>
    <w:p w14:paraId="002E9153" w14:textId="53B1C86A" w:rsidR="000F4236" w:rsidRPr="004F5467" w:rsidRDefault="000F4236" w:rsidP="004F5467">
      <w:pPr>
        <w:rPr>
          <w:lang w:eastAsia="ja-JP"/>
        </w:rPr>
      </w:pPr>
      <w:r w:rsidRPr="002D1365">
        <w:rPr>
          <w:rStyle w:val="Provsplit"/>
        </w:rPr>
        <w:t>4.1.1</w:t>
      </w:r>
      <w:r>
        <w:rPr>
          <w:lang w:eastAsia="ja-JP"/>
        </w:rPr>
        <w:t xml:space="preserve"> </w:t>
      </w:r>
      <w:r w:rsidR="002D1365">
        <w:rPr>
          <w:lang w:eastAsia="ja-JP"/>
        </w:rPr>
        <w:tab/>
      </w:r>
      <w:r>
        <w:rPr>
          <w:lang w:eastAsia="ja-JP"/>
        </w:rPr>
        <w:t xml:space="preserve">An </w:t>
      </w:r>
      <w:bookmarkStart w:id="16" w:name="_Hlk102138822"/>
      <w:r>
        <w:rPr>
          <w:lang w:eastAsia="ja-JP"/>
        </w:rPr>
        <w:t>administration proposing to include a new or modified assignment in the feeder-link List shall</w:t>
      </w:r>
      <w:bookmarkEnd w:id="16"/>
      <w:r>
        <w:rPr>
          <w:lang w:eastAsia="ja-JP"/>
        </w:rPr>
        <w:t xml:space="preserve"> seek the agreement of those administrations whose </w:t>
      </w:r>
      <w:ins w:id="17" w:author="EDITOR" w:date="2022-04-29T15:24:00Z">
        <w:r>
          <w:rPr>
            <w:lang w:eastAsia="ja-JP"/>
          </w:rPr>
          <w:t xml:space="preserve">current or future </w:t>
        </w:r>
      </w:ins>
      <w:r>
        <w:rPr>
          <w:lang w:eastAsia="ja-JP"/>
        </w:rPr>
        <w:t>services are considered to be affected, i.e. administrations</w:t>
      </w:r>
      <w:r w:rsidRPr="004F5467">
        <w:rPr>
          <w:vertAlign w:val="superscript"/>
          <w:lang w:eastAsia="ja-JP"/>
        </w:rPr>
        <w:t>4, 5</w:t>
      </w:r>
      <w:r>
        <w:rPr>
          <w:lang w:eastAsia="ja-JP"/>
        </w:rPr>
        <w:t>:</w:t>
      </w:r>
    </w:p>
    <w:p w14:paraId="1589C731" w14:textId="7050A273" w:rsidR="000F4236" w:rsidRDefault="000F4236" w:rsidP="002D1365">
      <w:pPr>
        <w:pStyle w:val="enumlev1"/>
        <w:rPr>
          <w:ins w:id="18" w:author="Fernandez Jimenez, Virginia" w:date="2022-05-05T15:12:00Z"/>
          <w:lang w:eastAsia="ja-JP"/>
        </w:rPr>
      </w:pPr>
      <w:ins w:id="19" w:author="EDITOR" w:date="2022-04-29T15:24:00Z">
        <w:r w:rsidRPr="002D1365">
          <w:rPr>
            <w:i/>
            <w:iCs/>
            <w:lang w:eastAsia="ja-JP"/>
            <w:rPrChange w:id="20" w:author="EDITOR" w:date="2022-04-29T15:25:00Z">
              <w:rPr>
                <w:lang w:eastAsia="ja-JP"/>
              </w:rPr>
            </w:rPrChange>
          </w:rPr>
          <w:t>e)</w:t>
        </w:r>
        <w:r w:rsidRPr="002D1365">
          <w:rPr>
            <w:lang w:eastAsia="ja-JP"/>
          </w:rPr>
          <w:tab/>
        </w:r>
      </w:ins>
      <w:ins w:id="21" w:author="EDITOR" w:date="2022-04-29T15:25:00Z">
        <w:r w:rsidRPr="002D1365">
          <w:rPr>
            <w:lang w:eastAsia="ja-JP"/>
          </w:rPr>
          <w:t xml:space="preserve">whose territory is </w:t>
        </w:r>
        <w:r>
          <w:rPr>
            <w:lang w:eastAsia="ja-JP"/>
          </w:rPr>
          <w:t xml:space="preserve">partially or wholly covered by an antenna </w:t>
        </w:r>
      </w:ins>
      <w:ins w:id="22" w:author="EDITOR" w:date="2022-04-29T15:28:00Z">
        <w:r>
          <w:rPr>
            <w:lang w:eastAsia="ja-JP"/>
          </w:rPr>
          <w:t xml:space="preserve">relative gain </w:t>
        </w:r>
      </w:ins>
      <w:ins w:id="23" w:author="EDITOR" w:date="2022-04-29T15:25:00Z">
        <w:r>
          <w:rPr>
            <w:lang w:eastAsia="ja-JP"/>
          </w:rPr>
          <w:t xml:space="preserve">contour of </w:t>
        </w:r>
      </w:ins>
      <w:ins w:id="24" w:author="EDITOR" w:date="2022-04-29T15:28:00Z">
        <w:r>
          <w:rPr>
            <w:lang w:eastAsia="ja-JP"/>
          </w:rPr>
          <w:noBreakHyphen/>
        </w:r>
      </w:ins>
      <w:ins w:id="25" w:author="EDITOR" w:date="2022-04-29T15:25:00Z">
        <w:r>
          <w:rPr>
            <w:lang w:eastAsia="ja-JP"/>
          </w:rPr>
          <w:t>20</w:t>
        </w:r>
      </w:ins>
      <w:ins w:id="26" w:author="Fernandez Jimenez, Virginia" w:date="2022-05-05T15:13:00Z">
        <w:r w:rsidR="002D1365">
          <w:rPr>
            <w:lang w:eastAsia="ja-JP"/>
          </w:rPr>
          <w:t> </w:t>
        </w:r>
      </w:ins>
      <w:ins w:id="27" w:author="EDITOR" w:date="2022-04-29T15:25:00Z">
        <w:r>
          <w:rPr>
            <w:lang w:eastAsia="ja-JP"/>
          </w:rPr>
          <w:t xml:space="preserve">dB or </w:t>
        </w:r>
      </w:ins>
      <w:ins w:id="28" w:author="EDITOR" w:date="2022-04-29T15:27:00Z">
        <w:r>
          <w:rPr>
            <w:lang w:eastAsia="ja-JP"/>
          </w:rPr>
          <w:t>greater.</w:t>
        </w:r>
      </w:ins>
    </w:p>
    <w:p w14:paraId="217D4DBF" w14:textId="77777777" w:rsidR="002D1365" w:rsidRPr="002D1365" w:rsidRDefault="002D1365">
      <w:pPr>
        <w:pStyle w:val="Reasons"/>
        <w:rPr>
          <w:lang w:eastAsia="ja-JP"/>
        </w:rPr>
        <w:pPrChange w:id="29" w:author="EDITOR" w:date="2022-04-29T15:26:00Z">
          <w:pPr>
            <w:pStyle w:val="Proposal"/>
          </w:pPr>
        </w:pPrChange>
      </w:pPr>
    </w:p>
    <w:p w14:paraId="61AB5274" w14:textId="77777777" w:rsidR="000F4236" w:rsidRPr="00724F80" w:rsidRDefault="000F4236" w:rsidP="00511846">
      <w:pPr>
        <w:pStyle w:val="Proposal"/>
        <w:rPr>
          <w:lang w:eastAsia="ja-JP"/>
        </w:rPr>
      </w:pPr>
      <w:r w:rsidRPr="00724F80">
        <w:rPr>
          <w:lang w:eastAsia="ja-JP"/>
        </w:rPr>
        <w:t>ADD</w:t>
      </w:r>
    </w:p>
    <w:p w14:paraId="0487286F" w14:textId="77777777" w:rsidR="000F4236" w:rsidRDefault="000F4236" w:rsidP="00541D93">
      <w:pPr>
        <w:autoSpaceDE/>
        <w:autoSpaceDN/>
        <w:adjustRightInd/>
        <w:jc w:val="both"/>
        <w:rPr>
          <w:sz w:val="16"/>
          <w:szCs w:val="16"/>
        </w:rPr>
      </w:pPr>
      <w:r w:rsidRPr="002D1365">
        <w:rPr>
          <w:rStyle w:val="Provsplit"/>
          <w:rFonts w:eastAsiaTheme="majorEastAsia"/>
        </w:rPr>
        <w:t>4.1.10e</w:t>
      </w:r>
      <w:r>
        <w:rPr>
          <w:rFonts w:eastAsiaTheme="majorEastAsia"/>
        </w:rPr>
        <w:tab/>
      </w:r>
      <w:r w:rsidRPr="00724F80">
        <w:rPr>
          <w:szCs w:val="24"/>
        </w:rPr>
        <w:t>An administration may at any time during or after the above-mentioned four-month</w:t>
      </w:r>
      <w:r w:rsidRPr="00724F80">
        <w:t xml:space="preserve"> </w:t>
      </w:r>
      <w:r w:rsidRPr="00724F80">
        <w:rPr>
          <w:szCs w:val="24"/>
        </w:rPr>
        <w:t>period inform the Bureau about its objection to being included in the service area of any assignment,</w:t>
      </w:r>
      <w:r w:rsidRPr="00724F80">
        <w:t xml:space="preserve"> </w:t>
      </w:r>
      <w:r w:rsidRPr="00724F80">
        <w:rPr>
          <w:szCs w:val="24"/>
        </w:rPr>
        <w:t>even if this assignment has been entered in the List. The Bureau shall then inform the administration</w:t>
      </w:r>
      <w:r w:rsidRPr="00724F80">
        <w:t xml:space="preserve"> </w:t>
      </w:r>
      <w:r w:rsidRPr="00724F80">
        <w:rPr>
          <w:szCs w:val="24"/>
        </w:rPr>
        <w:t>responsible for the assignment and exclude the territory and test points</w:t>
      </w:r>
      <w:r w:rsidRPr="00724F80">
        <w:rPr>
          <w:i/>
          <w:iCs/>
          <w:szCs w:val="24"/>
        </w:rPr>
        <w:t xml:space="preserve"> </w:t>
      </w:r>
      <w:r w:rsidRPr="00724F80">
        <w:rPr>
          <w:szCs w:val="24"/>
        </w:rPr>
        <w:t>that are within the territory</w:t>
      </w:r>
      <w:r w:rsidRPr="00724F80">
        <w:t xml:space="preserve"> </w:t>
      </w:r>
      <w:r w:rsidRPr="00724F80">
        <w:rPr>
          <w:szCs w:val="24"/>
        </w:rPr>
        <w:t>of the objecting administration from the service area. The Bureau shall update the reference situation</w:t>
      </w:r>
      <w:r w:rsidRPr="00724F80">
        <w:t xml:space="preserve"> </w:t>
      </w:r>
      <w:r w:rsidRPr="00724F80">
        <w:rPr>
          <w:szCs w:val="24"/>
        </w:rPr>
        <w:t>without reviewing the previous examinations.</w:t>
      </w:r>
      <w:r>
        <w:rPr>
          <w:szCs w:val="24"/>
        </w:rPr>
        <w:t>     </w:t>
      </w:r>
      <w:r w:rsidRPr="00511846">
        <w:rPr>
          <w:sz w:val="16"/>
          <w:szCs w:val="16"/>
        </w:rPr>
        <w:t>(WRC-23)</w:t>
      </w:r>
    </w:p>
    <w:p w14:paraId="5026CC6A" w14:textId="77777777" w:rsidR="000F4236" w:rsidRDefault="000F4236" w:rsidP="004E29B7">
      <w:pPr>
        <w:pStyle w:val="Reasons"/>
      </w:pPr>
    </w:p>
    <w:p w14:paraId="330609A3" w14:textId="77777777" w:rsidR="000F4236" w:rsidRPr="00080473" w:rsidRDefault="000F4236" w:rsidP="004E29B7">
      <w:pPr>
        <w:pStyle w:val="AppArtNo"/>
        <w:rPr>
          <w:lang w:eastAsia="zh-CN"/>
        </w:rPr>
      </w:pPr>
      <w:r w:rsidRPr="00080473">
        <w:rPr>
          <w:lang w:eastAsia="zh-CN"/>
        </w:rPr>
        <w:t>ARTICLE 10</w:t>
      </w:r>
    </w:p>
    <w:p w14:paraId="09AC9055" w14:textId="77777777" w:rsidR="000F4236" w:rsidRDefault="000F4236" w:rsidP="004E29B7">
      <w:pPr>
        <w:pStyle w:val="AppArttitle"/>
        <w:rPr>
          <w:lang w:eastAsia="zh-CN"/>
        </w:rPr>
      </w:pPr>
      <w:r w:rsidRPr="00080473">
        <w:rPr>
          <w:lang w:eastAsia="zh-CN"/>
        </w:rPr>
        <w:t>Interference</w:t>
      </w:r>
    </w:p>
    <w:p w14:paraId="3C29B664" w14:textId="77777777" w:rsidR="000F4236" w:rsidRDefault="000F4236" w:rsidP="00080473">
      <w:pPr>
        <w:autoSpaceDE/>
        <w:autoSpaceDN/>
        <w:adjustRightInd/>
        <w:rPr>
          <w:szCs w:val="24"/>
          <w:lang w:eastAsia="zh-CN"/>
        </w:rPr>
      </w:pPr>
      <w:r w:rsidRPr="00080473">
        <w:rPr>
          <w:b/>
          <w:bCs/>
          <w:szCs w:val="24"/>
          <w:lang w:eastAsia="zh-CN"/>
        </w:rPr>
        <w:t>ADD</w:t>
      </w:r>
    </w:p>
    <w:p w14:paraId="2746E5EF" w14:textId="7F0C0244" w:rsidR="000F4236" w:rsidRPr="00080473" w:rsidRDefault="000F4236" w:rsidP="00080473">
      <w:pPr>
        <w:autoSpaceDE/>
        <w:autoSpaceDN/>
        <w:adjustRightInd/>
        <w:rPr>
          <w:rFonts w:eastAsiaTheme="majorEastAsia"/>
          <w:kern w:val="2"/>
          <w:szCs w:val="24"/>
        </w:rPr>
      </w:pPr>
      <w:r>
        <w:rPr>
          <w:szCs w:val="24"/>
          <w:lang w:eastAsia="zh-CN"/>
        </w:rPr>
        <w:t>10.2</w:t>
      </w:r>
      <w:r>
        <w:rPr>
          <w:szCs w:val="24"/>
          <w:lang w:eastAsia="zh-CN"/>
        </w:rPr>
        <w:tab/>
      </w:r>
      <w:r>
        <w:rPr>
          <w:lang w:eastAsia="ja-JP"/>
        </w:rPr>
        <w:t xml:space="preserve">An Administration shall not claim protection from harmful interference to a new or modified assignment included in the feeder-link List, where such interference results from the territory of an Administration that has not provided its agreement under </w:t>
      </w:r>
      <w:r w:rsidRPr="00931185">
        <w:rPr>
          <w:lang w:eastAsia="ja-JP"/>
        </w:rPr>
        <w:t>§</w:t>
      </w:r>
      <w:r>
        <w:rPr>
          <w:lang w:eastAsia="ja-JP"/>
        </w:rPr>
        <w:t xml:space="preserve"> 4.1.1.</w:t>
      </w:r>
      <w:r w:rsidR="004E29B7">
        <w:rPr>
          <w:szCs w:val="24"/>
        </w:rPr>
        <w:t>     </w:t>
      </w:r>
      <w:r w:rsidR="004E29B7" w:rsidRPr="00511846">
        <w:rPr>
          <w:sz w:val="16"/>
          <w:szCs w:val="16"/>
        </w:rPr>
        <w:t>(WRC-23)</w:t>
      </w:r>
    </w:p>
    <w:p w14:paraId="65EFBFDD" w14:textId="77777777" w:rsidR="000F4236" w:rsidRDefault="000F4236" w:rsidP="004E29B7">
      <w:pPr>
        <w:pStyle w:val="Reasons"/>
      </w:pPr>
    </w:p>
    <w:p w14:paraId="39A06A69" w14:textId="77777777" w:rsidR="000F4236" w:rsidRDefault="000F4236">
      <w:pPr>
        <w:tabs>
          <w:tab w:val="clear" w:pos="1134"/>
          <w:tab w:val="clear" w:pos="1871"/>
          <w:tab w:val="clear" w:pos="2268"/>
        </w:tabs>
        <w:overflowPunct/>
        <w:autoSpaceDE/>
        <w:autoSpaceDN/>
        <w:adjustRightInd/>
        <w:spacing w:before="0"/>
        <w:textAlignment w:val="auto"/>
      </w:pPr>
      <w:r>
        <w:br w:type="page"/>
      </w:r>
    </w:p>
    <w:p w14:paraId="5A1F11EA" w14:textId="062607C3" w:rsidR="000F4236" w:rsidRDefault="000F4236" w:rsidP="00AE0B39">
      <w:r>
        <w:lastRenderedPageBreak/>
        <w:t xml:space="preserve">Method [F.2]: </w:t>
      </w:r>
      <w:r w:rsidRPr="00724F80">
        <w:t xml:space="preserve">An example of possible implementation of Method </w:t>
      </w:r>
      <w:r>
        <w:t>[</w:t>
      </w:r>
      <w:r w:rsidRPr="00724F80">
        <w:t>F</w:t>
      </w:r>
      <w:r>
        <w:t>.2]</w:t>
      </w:r>
      <w:r w:rsidRPr="00724F80">
        <w:t xml:space="preserve"> for</w:t>
      </w:r>
      <w:r w:rsidR="00A2129E">
        <w:t xml:space="preserve"> RR</w:t>
      </w:r>
      <w:r w:rsidRPr="00724F80">
        <w:t xml:space="preserve"> AP</w:t>
      </w:r>
      <w:r w:rsidRPr="004F6631">
        <w:rPr>
          <w:b/>
          <w:bCs/>
        </w:rPr>
        <w:t>30</w:t>
      </w:r>
      <w:r>
        <w:rPr>
          <w:b/>
          <w:bCs/>
        </w:rPr>
        <w:t>B</w:t>
      </w:r>
      <w:r w:rsidRPr="00724F80">
        <w:t xml:space="preserve"> is given below.</w:t>
      </w:r>
    </w:p>
    <w:p w14:paraId="24736797" w14:textId="77777777" w:rsidR="004E29B7" w:rsidRPr="004E29B7" w:rsidRDefault="004E29B7" w:rsidP="004E29B7">
      <w:pPr>
        <w:pStyle w:val="AppendixNo"/>
      </w:pPr>
      <w:bookmarkStart w:id="30" w:name="_Toc35789236"/>
      <w:bookmarkStart w:id="31" w:name="_Toc35856933"/>
      <w:bookmarkStart w:id="32" w:name="_Toc35877567"/>
      <w:bookmarkStart w:id="33" w:name="_Toc35963508"/>
      <w:bookmarkStart w:id="34" w:name="_Toc42084220"/>
      <w:r w:rsidRPr="004E29B7">
        <w:t>APPENDIX 30B (REV.WRC</w:t>
      </w:r>
      <w:r w:rsidRPr="004E29B7">
        <w:noBreakHyphen/>
        <w:t>19)</w:t>
      </w:r>
      <w:bookmarkEnd w:id="30"/>
      <w:bookmarkEnd w:id="31"/>
      <w:bookmarkEnd w:id="32"/>
      <w:bookmarkEnd w:id="33"/>
      <w:bookmarkEnd w:id="34"/>
    </w:p>
    <w:p w14:paraId="7A59BFC7" w14:textId="77777777" w:rsidR="004E29B7" w:rsidRPr="004E29B7" w:rsidRDefault="004E29B7" w:rsidP="004E29B7">
      <w:pPr>
        <w:pStyle w:val="Appendixtitle"/>
      </w:pPr>
      <w:bookmarkStart w:id="35" w:name="_Toc35789237"/>
      <w:bookmarkStart w:id="36" w:name="_Toc35856934"/>
      <w:bookmarkStart w:id="37" w:name="_Toc35877568"/>
      <w:bookmarkStart w:id="38" w:name="_Toc35963509"/>
      <w:bookmarkStart w:id="39" w:name="_Toc42084221"/>
      <w:r w:rsidRPr="004E29B7">
        <w:t>Provisions and associated Plan for the fixed-satellite service</w:t>
      </w:r>
      <w:r w:rsidRPr="004E29B7">
        <w:br/>
        <w:t>in the frequency bands 4 500-4 800 MHz, 6 725-7 025 MHz,</w:t>
      </w:r>
      <w:r w:rsidRPr="004E29B7">
        <w:br/>
        <w:t>10.70-10.95 GHz, 11.20-11.45 GHz and 12.75-13.25 GHz</w:t>
      </w:r>
      <w:bookmarkEnd w:id="35"/>
      <w:bookmarkEnd w:id="36"/>
      <w:bookmarkEnd w:id="37"/>
      <w:bookmarkEnd w:id="38"/>
      <w:bookmarkEnd w:id="39"/>
    </w:p>
    <w:p w14:paraId="601F30C6" w14:textId="77777777" w:rsidR="004E29B7" w:rsidRPr="004E29B7" w:rsidRDefault="004E29B7" w:rsidP="004E29B7">
      <w:pPr>
        <w:pStyle w:val="AppArtNo"/>
        <w:rPr>
          <w:lang w:val="en-US"/>
        </w:rPr>
      </w:pPr>
      <w:r w:rsidRPr="004E29B7">
        <w:rPr>
          <w:lang w:val="en-US"/>
        </w:rPr>
        <w:t>ARTICLE 9</w:t>
      </w:r>
      <w:r w:rsidRPr="004E29B7">
        <w:rPr>
          <w:sz w:val="16"/>
          <w:szCs w:val="10"/>
          <w:lang w:val="en-US"/>
        </w:rPr>
        <w:t>     (REV.WRC</w:t>
      </w:r>
      <w:r w:rsidRPr="004E29B7">
        <w:rPr>
          <w:sz w:val="16"/>
          <w:szCs w:val="10"/>
          <w:lang w:val="en-US"/>
        </w:rPr>
        <w:noBreakHyphen/>
        <w:t>07)</w:t>
      </w:r>
    </w:p>
    <w:p w14:paraId="279F02F5" w14:textId="77777777" w:rsidR="004E29B7" w:rsidRPr="004E29B7" w:rsidRDefault="004E29B7" w:rsidP="004E29B7">
      <w:pPr>
        <w:pStyle w:val="AppArttitle"/>
        <w:rPr>
          <w:lang w:val="en-US"/>
        </w:rPr>
      </w:pPr>
      <w:r w:rsidRPr="004E29B7">
        <w:rPr>
          <w:lang w:val="en-US"/>
        </w:rPr>
        <w:t>General provisions</w:t>
      </w:r>
    </w:p>
    <w:p w14:paraId="3AF9229E" w14:textId="77777777" w:rsidR="000F4236" w:rsidRPr="00237B54" w:rsidRDefault="000F4236" w:rsidP="004E29B7">
      <w:pPr>
        <w:pStyle w:val="Proposal"/>
      </w:pPr>
      <w:r w:rsidRPr="00237B54">
        <w:t>ADD</w:t>
      </w:r>
    </w:p>
    <w:p w14:paraId="02B1EDD4" w14:textId="549C1B04" w:rsidR="000F4236" w:rsidRDefault="000F4236" w:rsidP="004E29B7">
      <w:r w:rsidRPr="004E29B7">
        <w:rPr>
          <w:rStyle w:val="Provsplit"/>
        </w:rPr>
        <w:t>9.2</w:t>
      </w:r>
      <w:r>
        <w:tab/>
        <w:t xml:space="preserve">An </w:t>
      </w:r>
      <w:r w:rsidRPr="006D079E">
        <w:t xml:space="preserve">Administration </w:t>
      </w:r>
      <w:r>
        <w:t xml:space="preserve">that implements a multinational service shall not claim protection from harmful interference from the Earth-to-space emissions from the </w:t>
      </w:r>
      <w:r w:rsidRPr="006D079E">
        <w:t xml:space="preserve">territory/territories of </w:t>
      </w:r>
      <w:r>
        <w:t xml:space="preserve">an </w:t>
      </w:r>
      <w:r w:rsidRPr="006D079E">
        <w:t xml:space="preserve">Administration(s) </w:t>
      </w:r>
      <w:r>
        <w:t xml:space="preserve">that has </w:t>
      </w:r>
      <w:r w:rsidRPr="00091488">
        <w:t>inform</w:t>
      </w:r>
      <w:r>
        <w:t>ed</w:t>
      </w:r>
      <w:r w:rsidRPr="00091488">
        <w:t xml:space="preserve"> the Bureau </w:t>
      </w:r>
      <w:r>
        <w:t xml:space="preserve">of </w:t>
      </w:r>
      <w:r w:rsidRPr="00091488">
        <w:t xml:space="preserve">its objection to being included in the service area of </w:t>
      </w:r>
      <w:r>
        <w:t xml:space="preserve">such </w:t>
      </w:r>
      <w:r w:rsidRPr="00091488">
        <w:t>assignment</w:t>
      </w:r>
      <w:r>
        <w:t xml:space="preserve"> under </w:t>
      </w:r>
      <w:r w:rsidRPr="006D079E">
        <w:t>§</w:t>
      </w:r>
      <w:r>
        <w:t xml:space="preserve"> 6.16.  </w:t>
      </w:r>
      <w:r w:rsidRPr="006D079E">
        <w:t>§ 6.29 does not apply</w:t>
      </w:r>
      <w:r>
        <w:t>.</w:t>
      </w:r>
    </w:p>
    <w:p w14:paraId="03C54C43" w14:textId="77777777" w:rsidR="004E29B7" w:rsidRDefault="004E29B7" w:rsidP="004E29B7">
      <w:pPr>
        <w:pStyle w:val="Reasons"/>
      </w:pPr>
    </w:p>
    <w:p w14:paraId="7EFD9D1A" w14:textId="77777777" w:rsidR="000F4236" w:rsidRPr="00724F80" w:rsidRDefault="000F4236" w:rsidP="00F50992">
      <w:pPr>
        <w:jc w:val="center"/>
      </w:pPr>
      <w:r>
        <w:t>______________</w:t>
      </w:r>
    </w:p>
    <w:p w14:paraId="5334D59F" w14:textId="77777777" w:rsidR="00D85A81" w:rsidRDefault="00D85A81" w:rsidP="00DD4BED">
      <w:pPr>
        <w:rPr>
          <w:lang w:val="fr-FR" w:eastAsia="zh-CN"/>
        </w:rPr>
      </w:pPr>
    </w:p>
    <w:sectPr w:rsidR="00D85A81"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7DDB" w14:textId="77777777" w:rsidR="00D85A81" w:rsidRDefault="00D85A81">
      <w:r>
        <w:separator/>
      </w:r>
    </w:p>
  </w:endnote>
  <w:endnote w:type="continuationSeparator" w:id="0">
    <w:p w14:paraId="382109C7" w14:textId="77777777" w:rsidR="00D85A81" w:rsidRDefault="00D8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5F1A" w14:textId="2D6F356F" w:rsidR="00FA124A" w:rsidRPr="002F7CB3" w:rsidRDefault="009D0C46">
    <w:pPr>
      <w:pStyle w:val="Footer"/>
      <w:rPr>
        <w:lang w:val="en-US"/>
      </w:rPr>
    </w:pPr>
    <w:r>
      <w:fldChar w:fldCharType="begin"/>
    </w:r>
    <w:r>
      <w:instrText xml:space="preserve"> FILENAME \p \* MERGEFORMAT </w:instrText>
    </w:r>
    <w:r>
      <w:fldChar w:fldCharType="separate"/>
    </w:r>
    <w:r w:rsidR="000F4236" w:rsidRPr="000F4236">
      <w:rPr>
        <w:lang w:val="en-US"/>
      </w:rPr>
      <w:t>M</w:t>
    </w:r>
    <w:r w:rsidR="000F4236">
      <w:t>:\BRSGD\TEXT2019\SG04\WP4A\600\664e.docx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t>05.05.22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0F4236">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6406" w14:textId="43C5218E" w:rsidR="00FA124A" w:rsidRPr="002F7CB3" w:rsidRDefault="009D0C46" w:rsidP="00E6257C">
    <w:pPr>
      <w:pStyle w:val="Footer"/>
      <w:rPr>
        <w:lang w:val="en-US"/>
      </w:rPr>
    </w:pPr>
    <w:r>
      <w:fldChar w:fldCharType="begin"/>
    </w:r>
    <w:r>
      <w:instrText xml:space="preserve"> FILENAME \p \* MERGEFORMAT </w:instrText>
    </w:r>
    <w:r>
      <w:fldChar w:fldCharType="separate"/>
    </w:r>
    <w:r w:rsidR="000F4236" w:rsidRPr="000F4236">
      <w:rPr>
        <w:lang w:val="en-US"/>
      </w:rPr>
      <w:t>M</w:t>
    </w:r>
    <w:r w:rsidR="000F4236">
      <w:t>:\BRSGD\TEXT2019\SG04\WP4A\600\664e.docx</w:t>
    </w:r>
    <w: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t>05.05.22</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0F4236">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5343" w14:textId="77777777" w:rsidR="00D85A81" w:rsidRDefault="00D85A81">
      <w:r>
        <w:t>____________________</w:t>
      </w:r>
    </w:p>
  </w:footnote>
  <w:footnote w:type="continuationSeparator" w:id="0">
    <w:p w14:paraId="290F760C" w14:textId="77777777" w:rsidR="00D85A81" w:rsidRDefault="00D8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1270"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2649C0" w14:textId="5E243BD6" w:rsidR="00FA124A" w:rsidRDefault="00D85A81">
    <w:pPr>
      <w:pStyle w:val="Header"/>
      <w:rPr>
        <w:lang w:val="en-US"/>
      </w:rPr>
    </w:pPr>
    <w:r>
      <w:rPr>
        <w:lang w:val="en-US"/>
      </w:rPr>
      <w:t>4A/664-E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FE3"/>
    <w:multiLevelType w:val="hybridMultilevel"/>
    <w:tmpl w:val="24A667B0"/>
    <w:lvl w:ilvl="0" w:tplc="19BEE2FA">
      <w:start w:val="1"/>
      <w:numFmt w:val="bullet"/>
      <w:lvlText w:val="-"/>
      <w:lvlJc w:val="left"/>
      <w:pPr>
        <w:ind w:left="1490" w:hanging="360"/>
      </w:pPr>
      <w:rPr>
        <w:rFonts w:ascii="Times New Roman" w:eastAsia="Times New Roman" w:hAnsi="Times New Roman" w:cs="Times New Roman" w:hint="default"/>
        <w:b/>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0787439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5A81"/>
    <w:rsid w:val="000069D4"/>
    <w:rsid w:val="000174AD"/>
    <w:rsid w:val="00047A1D"/>
    <w:rsid w:val="000604B9"/>
    <w:rsid w:val="000A7D55"/>
    <w:rsid w:val="000C12C8"/>
    <w:rsid w:val="000C2E8E"/>
    <w:rsid w:val="000E0E7C"/>
    <w:rsid w:val="000F1B4B"/>
    <w:rsid w:val="000F4236"/>
    <w:rsid w:val="0012744F"/>
    <w:rsid w:val="00131178"/>
    <w:rsid w:val="00156F66"/>
    <w:rsid w:val="00163271"/>
    <w:rsid w:val="00172122"/>
    <w:rsid w:val="00182528"/>
    <w:rsid w:val="0018500B"/>
    <w:rsid w:val="00196A19"/>
    <w:rsid w:val="00202DC1"/>
    <w:rsid w:val="002116EE"/>
    <w:rsid w:val="002309D8"/>
    <w:rsid w:val="002A7FE2"/>
    <w:rsid w:val="002D1365"/>
    <w:rsid w:val="002E1B4F"/>
    <w:rsid w:val="002F2E67"/>
    <w:rsid w:val="002F7CB3"/>
    <w:rsid w:val="00315546"/>
    <w:rsid w:val="00330567"/>
    <w:rsid w:val="00386A9D"/>
    <w:rsid w:val="00391081"/>
    <w:rsid w:val="003B2789"/>
    <w:rsid w:val="003C13CE"/>
    <w:rsid w:val="003C697E"/>
    <w:rsid w:val="003E2518"/>
    <w:rsid w:val="003E7CEF"/>
    <w:rsid w:val="00472B4F"/>
    <w:rsid w:val="004B1EF7"/>
    <w:rsid w:val="004B3FAD"/>
    <w:rsid w:val="004C5749"/>
    <w:rsid w:val="004E29B7"/>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0C46"/>
    <w:rsid w:val="009D1697"/>
    <w:rsid w:val="009F3A46"/>
    <w:rsid w:val="009F6520"/>
    <w:rsid w:val="00A014F8"/>
    <w:rsid w:val="00A2129E"/>
    <w:rsid w:val="00A5173C"/>
    <w:rsid w:val="00A61AEF"/>
    <w:rsid w:val="00AD2345"/>
    <w:rsid w:val="00AE0B39"/>
    <w:rsid w:val="00AF173A"/>
    <w:rsid w:val="00B066A4"/>
    <w:rsid w:val="00B07A13"/>
    <w:rsid w:val="00B23B25"/>
    <w:rsid w:val="00B4279B"/>
    <w:rsid w:val="00B45FC9"/>
    <w:rsid w:val="00B76F35"/>
    <w:rsid w:val="00B81138"/>
    <w:rsid w:val="00BC7CCF"/>
    <w:rsid w:val="00BE470B"/>
    <w:rsid w:val="00C57A91"/>
    <w:rsid w:val="00CC01C2"/>
    <w:rsid w:val="00CF21F2"/>
    <w:rsid w:val="00D02712"/>
    <w:rsid w:val="00D046A7"/>
    <w:rsid w:val="00D214D0"/>
    <w:rsid w:val="00D6546B"/>
    <w:rsid w:val="00D85A81"/>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1CF8D"/>
  <w15:docId w15:val="{A2E8542D-111E-4925-8D9C-30C87EC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uiPriority w:val="99"/>
    <w:rsid w:val="009C185B"/>
    <w:rPr>
      <w:rFonts w:ascii="Times New Roman Bold" w:hAnsi="Times New Roman Bold"/>
      <w:b/>
    </w:rPr>
  </w:style>
  <w:style w:type="paragraph" w:customStyle="1" w:styleId="Chaptitle">
    <w:name w:val="Chap_title"/>
    <w:basedOn w:val="Arttitle"/>
    <w:next w:val="Normal"/>
    <w:uiPriority w:val="99"/>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Reference/ + Text 1"/>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uiPriority w:val="99"/>
    <w:locked/>
    <w:rsid w:val="000F4236"/>
    <w:rPr>
      <w:rFonts w:ascii="Times New Roman" w:hAnsi="Times New Roman"/>
      <w:sz w:val="24"/>
      <w:lang w:val="en-GB" w:eastAsia="en-US"/>
    </w:rPr>
  </w:style>
  <w:style w:type="character" w:customStyle="1" w:styleId="href">
    <w:name w:val="href"/>
    <w:basedOn w:val="DefaultParagraphFont"/>
    <w:rsid w:val="000F4236"/>
  </w:style>
  <w:style w:type="character" w:styleId="Hyperlink">
    <w:name w:val="Hyperlink"/>
    <w:basedOn w:val="DefaultParagraphFont"/>
    <w:unhideWhenUsed/>
    <w:rsid w:val="000F4236"/>
    <w:rPr>
      <w:color w:val="0000FF" w:themeColor="hyperlink"/>
      <w:u w:val="single"/>
    </w:rPr>
  </w:style>
  <w:style w:type="paragraph" w:styleId="ListParagraph">
    <w:name w:val="List Paragraph"/>
    <w:basedOn w:val="Normal"/>
    <w:uiPriority w:val="34"/>
    <w:qFormat/>
    <w:rsid w:val="000F4236"/>
    <w:pPr>
      <w:ind w:left="720"/>
      <w:contextualSpacing/>
    </w:pPr>
  </w:style>
  <w:style w:type="paragraph" w:styleId="Revision">
    <w:name w:val="Revision"/>
    <w:hidden/>
    <w:uiPriority w:val="99"/>
    <w:semiHidden/>
    <w:rsid w:val="002D136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9-WP4A-C-0392/e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Author</cp:lastModifiedBy>
  <cp:revision>4</cp:revision>
  <cp:lastPrinted>2008-02-21T14:04:00Z</cp:lastPrinted>
  <dcterms:created xsi:type="dcterms:W3CDTF">2022-05-05T13:19:00Z</dcterms:created>
  <dcterms:modified xsi:type="dcterms:W3CDTF">2022-05-05T22:14:00Z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